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56AEF8" w14:textId="32B621AD" w:rsidR="00DB31A3" w:rsidRDefault="00DB31A3" w:rsidP="00DB31A3">
      <w:pPr>
        <w:rPr>
          <w:sz w:val="24"/>
        </w:rPr>
      </w:pPr>
      <w:r>
        <w:rPr>
          <w:sz w:val="24"/>
        </w:rPr>
        <w:t xml:space="preserve">Stable carbon and nitrogen isotope ratios and fatty acid profiles in </w:t>
      </w:r>
      <w:r w:rsidR="00C96982">
        <w:rPr>
          <w:sz w:val="24"/>
        </w:rPr>
        <w:t>fishes</w:t>
      </w:r>
      <w:r>
        <w:rPr>
          <w:sz w:val="24"/>
        </w:rPr>
        <w:t xml:space="preserve"> in the </w:t>
      </w:r>
      <w:proofErr w:type="spellStart"/>
      <w:r>
        <w:rPr>
          <w:sz w:val="24"/>
        </w:rPr>
        <w:t>Kaeng</w:t>
      </w:r>
      <w:proofErr w:type="spellEnd"/>
      <w:r>
        <w:rPr>
          <w:sz w:val="24"/>
        </w:rPr>
        <w:t xml:space="preserve"> Krachan Reservoir, Thailand</w:t>
      </w:r>
    </w:p>
    <w:p w14:paraId="2EEB9003" w14:textId="77777777" w:rsidR="00DB31A3" w:rsidRDefault="00DB31A3" w:rsidP="00DB31A3">
      <w:pPr>
        <w:rPr>
          <w:sz w:val="24"/>
        </w:rPr>
      </w:pPr>
    </w:p>
    <w:p w14:paraId="6C332E2F" w14:textId="7826E98E" w:rsidR="00DB31A3" w:rsidRPr="002E08C9" w:rsidRDefault="00DB31A3" w:rsidP="00DB31A3">
      <w:pPr>
        <w:rPr>
          <w:sz w:val="24"/>
        </w:rPr>
      </w:pPr>
      <w:r w:rsidRPr="007F30A2">
        <w:rPr>
          <w:sz w:val="24"/>
        </w:rPr>
        <w:t>The name(s) of the author(s)</w:t>
      </w:r>
      <w:r>
        <w:rPr>
          <w:sz w:val="24"/>
        </w:rPr>
        <w:t>:</w:t>
      </w:r>
    </w:p>
    <w:p w14:paraId="027FB3F2" w14:textId="091D72E2" w:rsidR="00DB31A3" w:rsidRPr="0034687B" w:rsidRDefault="00DB31A3" w:rsidP="00DB31A3">
      <w:pPr>
        <w:rPr>
          <w:sz w:val="24"/>
        </w:rPr>
      </w:pPr>
      <w:proofErr w:type="spellStart"/>
      <w:r w:rsidRPr="0034687B">
        <w:rPr>
          <w:rFonts w:hint="eastAsia"/>
          <w:sz w:val="24"/>
        </w:rPr>
        <w:t>A</w:t>
      </w:r>
      <w:r w:rsidRPr="0034687B">
        <w:rPr>
          <w:sz w:val="24"/>
        </w:rPr>
        <w:t>yano</w:t>
      </w:r>
      <w:proofErr w:type="spellEnd"/>
      <w:r w:rsidRPr="0034687B">
        <w:rPr>
          <w:sz w:val="24"/>
        </w:rPr>
        <w:t xml:space="preserve"> Medo</w:t>
      </w:r>
      <w:proofErr w:type="gramStart"/>
      <w:r w:rsidRPr="0034687B">
        <w:rPr>
          <w:sz w:val="24"/>
          <w:vertAlign w:val="superscript"/>
        </w:rPr>
        <w:t>1,*</w:t>
      </w:r>
      <w:proofErr w:type="gramEnd"/>
      <w:r w:rsidRPr="0034687B">
        <w:rPr>
          <w:sz w:val="24"/>
        </w:rPr>
        <w:t xml:space="preserve">, </w:t>
      </w:r>
      <w:proofErr w:type="spellStart"/>
      <w:r w:rsidRPr="0034687B">
        <w:rPr>
          <w:sz w:val="24"/>
        </w:rPr>
        <w:t>Nobuhito</w:t>
      </w:r>
      <w:proofErr w:type="spellEnd"/>
      <w:r w:rsidRPr="0034687B">
        <w:rPr>
          <w:sz w:val="24"/>
        </w:rPr>
        <w:t xml:space="preserve"> Ohte</w:t>
      </w:r>
      <w:r w:rsidRPr="0034687B">
        <w:rPr>
          <w:sz w:val="24"/>
          <w:vertAlign w:val="superscript"/>
        </w:rPr>
        <w:t>1</w:t>
      </w:r>
      <w:r w:rsidRPr="0034687B">
        <w:rPr>
          <w:sz w:val="24"/>
        </w:rPr>
        <w:t>, Keisuke Koba</w:t>
      </w:r>
      <w:r w:rsidRPr="0034687B">
        <w:rPr>
          <w:sz w:val="24"/>
          <w:vertAlign w:val="superscript"/>
        </w:rPr>
        <w:t>2</w:t>
      </w:r>
      <w:r w:rsidRPr="0034687B">
        <w:rPr>
          <w:sz w:val="24"/>
        </w:rPr>
        <w:t>, Nobuaki Arai</w:t>
      </w:r>
      <w:r w:rsidRPr="0034687B">
        <w:rPr>
          <w:sz w:val="24"/>
          <w:vertAlign w:val="superscript"/>
        </w:rPr>
        <w:t>3</w:t>
      </w:r>
      <w:r w:rsidRPr="0034687B">
        <w:rPr>
          <w:sz w:val="24"/>
        </w:rPr>
        <w:t>, Yasushi Mitsunaga</w:t>
      </w:r>
      <w:r w:rsidR="002A619A">
        <w:rPr>
          <w:sz w:val="24"/>
          <w:vertAlign w:val="superscript"/>
        </w:rPr>
        <w:t>4</w:t>
      </w:r>
      <w:r w:rsidRPr="0034687B">
        <w:rPr>
          <w:sz w:val="24"/>
        </w:rPr>
        <w:t>, Hideaki Nishizawa</w:t>
      </w:r>
      <w:r w:rsidRPr="0034687B">
        <w:rPr>
          <w:sz w:val="24"/>
          <w:vertAlign w:val="superscript"/>
        </w:rPr>
        <w:t>1</w:t>
      </w:r>
      <w:r w:rsidRPr="0034687B">
        <w:rPr>
          <w:sz w:val="24"/>
        </w:rPr>
        <w:t>, Manabu Kume</w:t>
      </w:r>
      <w:r w:rsidRPr="0034687B">
        <w:rPr>
          <w:sz w:val="24"/>
          <w:vertAlign w:val="superscript"/>
        </w:rPr>
        <w:t>3</w:t>
      </w:r>
      <w:r w:rsidRPr="0034687B">
        <w:rPr>
          <w:sz w:val="24"/>
        </w:rPr>
        <w:t xml:space="preserve">, </w:t>
      </w:r>
      <w:proofErr w:type="spellStart"/>
      <w:r w:rsidRPr="0034687B">
        <w:rPr>
          <w:sz w:val="24"/>
        </w:rPr>
        <w:t>Thavee</w:t>
      </w:r>
      <w:proofErr w:type="spellEnd"/>
      <w:r w:rsidRPr="0034687B">
        <w:rPr>
          <w:rFonts w:hint="eastAsia"/>
          <w:sz w:val="24"/>
        </w:rPr>
        <w:t xml:space="preserve"> </w:t>
      </w:r>
      <w:r w:rsidRPr="0034687B">
        <w:rPr>
          <w:sz w:val="24"/>
        </w:rPr>
        <w:t>Viputhanumas</w:t>
      </w:r>
      <w:r w:rsidR="002A619A">
        <w:rPr>
          <w:sz w:val="24"/>
          <w:vertAlign w:val="superscript"/>
        </w:rPr>
        <w:t>5</w:t>
      </w:r>
      <w:r w:rsidRPr="0034687B">
        <w:rPr>
          <w:sz w:val="24"/>
        </w:rPr>
        <w:t xml:space="preserve">, </w:t>
      </w:r>
      <w:proofErr w:type="spellStart"/>
      <w:r w:rsidRPr="0034687B">
        <w:rPr>
          <w:sz w:val="24"/>
        </w:rPr>
        <w:t>Kiattipong</w:t>
      </w:r>
      <w:proofErr w:type="spellEnd"/>
      <w:r w:rsidRPr="0034687B">
        <w:rPr>
          <w:sz w:val="24"/>
        </w:rPr>
        <w:t xml:space="preserve"> Kamdee</w:t>
      </w:r>
      <w:r w:rsidR="002A619A">
        <w:rPr>
          <w:sz w:val="24"/>
          <w:vertAlign w:val="superscript"/>
        </w:rPr>
        <w:t>6</w:t>
      </w:r>
      <w:r w:rsidRPr="0034687B">
        <w:rPr>
          <w:sz w:val="24"/>
        </w:rPr>
        <w:t xml:space="preserve">, </w:t>
      </w:r>
      <w:proofErr w:type="spellStart"/>
      <w:r w:rsidRPr="007F30A2">
        <w:rPr>
          <w:sz w:val="24"/>
        </w:rPr>
        <w:t>Chakrit</w:t>
      </w:r>
      <w:proofErr w:type="spellEnd"/>
      <w:r w:rsidRPr="007F30A2">
        <w:rPr>
          <w:sz w:val="24"/>
        </w:rPr>
        <w:t xml:space="preserve"> Saengkorakot</w:t>
      </w:r>
      <w:r w:rsidR="002A619A">
        <w:rPr>
          <w:sz w:val="24"/>
          <w:vertAlign w:val="superscript"/>
        </w:rPr>
        <w:t>6</w:t>
      </w:r>
      <w:r>
        <w:rPr>
          <w:sz w:val="24"/>
        </w:rPr>
        <w:t xml:space="preserve">, </w:t>
      </w:r>
      <w:r w:rsidRPr="0034687B">
        <w:rPr>
          <w:sz w:val="24"/>
        </w:rPr>
        <w:t>Koki Ikeya</w:t>
      </w:r>
      <w:r w:rsidR="002A619A">
        <w:rPr>
          <w:sz w:val="24"/>
          <w:vertAlign w:val="superscript"/>
        </w:rPr>
        <w:t>7</w:t>
      </w:r>
      <w:r w:rsidRPr="0034687B">
        <w:rPr>
          <w:sz w:val="24"/>
        </w:rPr>
        <w:t>, Iroha Yamada</w:t>
      </w:r>
      <w:r w:rsidR="002A619A">
        <w:rPr>
          <w:sz w:val="24"/>
          <w:vertAlign w:val="superscript"/>
        </w:rPr>
        <w:t>4</w:t>
      </w:r>
      <w:r w:rsidRPr="0034687B">
        <w:rPr>
          <w:sz w:val="24"/>
        </w:rPr>
        <w:t xml:space="preserve">, </w:t>
      </w:r>
      <w:r>
        <w:rPr>
          <w:sz w:val="24"/>
        </w:rPr>
        <w:t>Tatsuya Sugawara</w:t>
      </w:r>
      <w:r w:rsidR="002A619A">
        <w:rPr>
          <w:sz w:val="24"/>
          <w:vertAlign w:val="superscript"/>
        </w:rPr>
        <w:t>8</w:t>
      </w:r>
      <w:r>
        <w:rPr>
          <w:sz w:val="24"/>
        </w:rPr>
        <w:t>, Yuki Manabe</w:t>
      </w:r>
      <w:r w:rsidR="002A619A">
        <w:rPr>
          <w:sz w:val="24"/>
          <w:vertAlign w:val="superscript"/>
        </w:rPr>
        <w:t>8</w:t>
      </w:r>
      <w:r>
        <w:rPr>
          <w:sz w:val="24"/>
        </w:rPr>
        <w:t>, Akiko S. Goto</w:t>
      </w:r>
      <w:r w:rsidRPr="0034687B">
        <w:rPr>
          <w:sz w:val="24"/>
          <w:vertAlign w:val="superscript"/>
        </w:rPr>
        <w:t>2</w:t>
      </w:r>
      <w:r>
        <w:rPr>
          <w:sz w:val="24"/>
        </w:rPr>
        <w:t xml:space="preserve">, </w:t>
      </w:r>
      <w:r w:rsidRPr="0034687B">
        <w:rPr>
          <w:sz w:val="24"/>
        </w:rPr>
        <w:t>Ayako Yokoyama</w:t>
      </w:r>
      <w:r w:rsidR="002A619A">
        <w:rPr>
          <w:sz w:val="24"/>
          <w:vertAlign w:val="superscript"/>
        </w:rPr>
        <w:t>8</w:t>
      </w:r>
      <w:r w:rsidRPr="0034687B">
        <w:rPr>
          <w:sz w:val="24"/>
        </w:rPr>
        <w:t>, Hiroyuki Yamane</w:t>
      </w:r>
      <w:r w:rsidR="002A619A">
        <w:rPr>
          <w:sz w:val="24"/>
          <w:vertAlign w:val="superscript"/>
        </w:rPr>
        <w:t>9</w:t>
      </w:r>
      <w:r w:rsidRPr="0034687B">
        <w:rPr>
          <w:sz w:val="24"/>
        </w:rPr>
        <w:t xml:space="preserve">, </w:t>
      </w:r>
      <w:r>
        <w:rPr>
          <w:sz w:val="24"/>
        </w:rPr>
        <w:t>Hiroki Kajitani</w:t>
      </w:r>
      <w:r w:rsidRPr="0034687B">
        <w:rPr>
          <w:sz w:val="24"/>
          <w:vertAlign w:val="superscript"/>
        </w:rPr>
        <w:t>1</w:t>
      </w:r>
      <w:r>
        <w:rPr>
          <w:sz w:val="24"/>
        </w:rPr>
        <w:t>, Daichi Kojima</w:t>
      </w:r>
      <w:r w:rsidRPr="0034687B">
        <w:rPr>
          <w:sz w:val="24"/>
          <w:vertAlign w:val="superscript"/>
        </w:rPr>
        <w:t>1</w:t>
      </w:r>
      <w:r>
        <w:rPr>
          <w:sz w:val="24"/>
        </w:rPr>
        <w:t>, Takashi Nose</w:t>
      </w:r>
      <w:r w:rsidRPr="0034687B">
        <w:rPr>
          <w:sz w:val="24"/>
          <w:vertAlign w:val="superscript"/>
        </w:rPr>
        <w:t>1</w:t>
      </w:r>
      <w:r>
        <w:rPr>
          <w:sz w:val="24"/>
        </w:rPr>
        <w:t xml:space="preserve">, </w:t>
      </w:r>
      <w:r w:rsidRPr="0034687B">
        <w:rPr>
          <w:sz w:val="24"/>
        </w:rPr>
        <w:t xml:space="preserve">&amp; </w:t>
      </w:r>
      <w:proofErr w:type="spellStart"/>
      <w:r w:rsidRPr="0034687B">
        <w:rPr>
          <w:sz w:val="24"/>
        </w:rPr>
        <w:t>Hiromichi</w:t>
      </w:r>
      <w:proofErr w:type="spellEnd"/>
      <w:r w:rsidRPr="0034687B">
        <w:rPr>
          <w:sz w:val="24"/>
        </w:rPr>
        <w:t xml:space="preserve"> Mitamura</w:t>
      </w:r>
      <w:r w:rsidRPr="0034687B">
        <w:rPr>
          <w:sz w:val="24"/>
          <w:vertAlign w:val="superscript"/>
        </w:rPr>
        <w:t>3</w:t>
      </w:r>
      <w:r w:rsidR="002A619A">
        <w:rPr>
          <w:sz w:val="24"/>
          <w:vertAlign w:val="superscript"/>
        </w:rPr>
        <w:t>,8</w:t>
      </w:r>
    </w:p>
    <w:p w14:paraId="78B77206" w14:textId="77777777" w:rsidR="00DB31A3" w:rsidRPr="00DB31A3" w:rsidRDefault="00DB31A3" w:rsidP="00DB31A3">
      <w:pPr>
        <w:rPr>
          <w:sz w:val="24"/>
        </w:rPr>
      </w:pPr>
    </w:p>
    <w:p w14:paraId="4E9D769A" w14:textId="04F65214" w:rsidR="00DB31A3" w:rsidRDefault="00DB31A3" w:rsidP="00DB31A3">
      <w:pPr>
        <w:rPr>
          <w:sz w:val="24"/>
        </w:rPr>
      </w:pPr>
      <w:r w:rsidRPr="007F30A2">
        <w:rPr>
          <w:sz w:val="24"/>
        </w:rPr>
        <w:t>The affiliation(s) of the author(s)</w:t>
      </w:r>
      <w:r>
        <w:rPr>
          <w:sz w:val="24"/>
        </w:rPr>
        <w:t>:</w:t>
      </w:r>
    </w:p>
    <w:p w14:paraId="09DBCA70" w14:textId="77777777" w:rsidR="00DB31A3" w:rsidRPr="0034687B" w:rsidRDefault="00DB31A3" w:rsidP="00DB31A3">
      <w:pPr>
        <w:rPr>
          <w:sz w:val="24"/>
        </w:rPr>
      </w:pPr>
      <w:r w:rsidRPr="0034687B">
        <w:rPr>
          <w:rFonts w:hint="eastAsia"/>
          <w:sz w:val="24"/>
          <w:vertAlign w:val="superscript"/>
        </w:rPr>
        <w:t>1</w:t>
      </w:r>
      <w:r w:rsidRPr="0034687B">
        <w:rPr>
          <w:sz w:val="24"/>
        </w:rPr>
        <w:t xml:space="preserve">Graduate School of Informatics, Kyoto University, </w:t>
      </w:r>
      <w:r>
        <w:rPr>
          <w:sz w:val="24"/>
        </w:rPr>
        <w:t>Yoshida-</w:t>
      </w:r>
      <w:proofErr w:type="spellStart"/>
      <w:r>
        <w:rPr>
          <w:sz w:val="24"/>
        </w:rPr>
        <w:t>honmachi</w:t>
      </w:r>
      <w:proofErr w:type="spellEnd"/>
      <w:r>
        <w:rPr>
          <w:sz w:val="24"/>
        </w:rPr>
        <w:t xml:space="preserve">, </w:t>
      </w:r>
      <w:r w:rsidRPr="00362B84">
        <w:rPr>
          <w:sz w:val="24"/>
        </w:rPr>
        <w:t>Sakyo, Kyoto</w:t>
      </w:r>
      <w:r>
        <w:rPr>
          <w:sz w:val="24"/>
        </w:rPr>
        <w:t>,</w:t>
      </w:r>
      <w:r w:rsidRPr="00362B84">
        <w:rPr>
          <w:rFonts w:hint="eastAsia"/>
          <w:sz w:val="24"/>
        </w:rPr>
        <w:t xml:space="preserve"> </w:t>
      </w:r>
      <w:r w:rsidRPr="00362B84">
        <w:rPr>
          <w:sz w:val="24"/>
        </w:rPr>
        <w:t>606-8501 Japan</w:t>
      </w:r>
    </w:p>
    <w:p w14:paraId="4FF1F205" w14:textId="77777777" w:rsidR="00DB31A3" w:rsidRPr="0034687B" w:rsidRDefault="00DB31A3" w:rsidP="00DB31A3">
      <w:pPr>
        <w:rPr>
          <w:sz w:val="24"/>
        </w:rPr>
      </w:pPr>
      <w:r w:rsidRPr="0034687B">
        <w:rPr>
          <w:rFonts w:hint="eastAsia"/>
          <w:sz w:val="24"/>
          <w:vertAlign w:val="superscript"/>
        </w:rPr>
        <w:t>2</w:t>
      </w:r>
      <w:r w:rsidRPr="0034687B">
        <w:rPr>
          <w:sz w:val="24"/>
        </w:rPr>
        <w:t xml:space="preserve">Center for Ecological Research, Kyoto University, </w:t>
      </w:r>
      <w:r w:rsidRPr="007F3970">
        <w:rPr>
          <w:sz w:val="24"/>
        </w:rPr>
        <w:t>2-509-3 Hirano</w:t>
      </w:r>
      <w:r>
        <w:rPr>
          <w:sz w:val="24"/>
        </w:rPr>
        <w:t>,</w:t>
      </w:r>
      <w:r w:rsidRPr="007F3970">
        <w:rPr>
          <w:sz w:val="24"/>
        </w:rPr>
        <w:t xml:space="preserve"> </w:t>
      </w:r>
      <w:r>
        <w:rPr>
          <w:sz w:val="24"/>
        </w:rPr>
        <w:t xml:space="preserve">Otsu, </w:t>
      </w:r>
      <w:r w:rsidRPr="0034687B">
        <w:rPr>
          <w:sz w:val="24"/>
        </w:rPr>
        <w:t xml:space="preserve">Shiga, </w:t>
      </w:r>
      <w:r w:rsidRPr="00362B84">
        <w:rPr>
          <w:sz w:val="24"/>
        </w:rPr>
        <w:t>520-2113</w:t>
      </w:r>
      <w:r>
        <w:rPr>
          <w:sz w:val="24"/>
        </w:rPr>
        <w:t xml:space="preserve"> </w:t>
      </w:r>
      <w:r w:rsidRPr="0034687B">
        <w:rPr>
          <w:sz w:val="24"/>
        </w:rPr>
        <w:t>Japan</w:t>
      </w:r>
    </w:p>
    <w:p w14:paraId="0FDE80A9" w14:textId="77777777" w:rsidR="00DB31A3" w:rsidRPr="0034687B" w:rsidRDefault="00DB31A3" w:rsidP="00DB31A3">
      <w:pPr>
        <w:rPr>
          <w:sz w:val="24"/>
        </w:rPr>
      </w:pPr>
      <w:r w:rsidRPr="0034687B">
        <w:rPr>
          <w:rFonts w:hint="eastAsia"/>
          <w:sz w:val="24"/>
          <w:vertAlign w:val="superscript"/>
        </w:rPr>
        <w:t>3</w:t>
      </w:r>
      <w:r w:rsidRPr="0034687B">
        <w:rPr>
          <w:sz w:val="24"/>
        </w:rPr>
        <w:t>Field Science Education and Research Center, Kyoto University,</w:t>
      </w:r>
      <w:r w:rsidRPr="007F3970">
        <w:rPr>
          <w:sz w:val="24"/>
        </w:rPr>
        <w:t xml:space="preserve"> </w:t>
      </w:r>
      <w:proofErr w:type="spellStart"/>
      <w:r w:rsidRPr="007F3970">
        <w:rPr>
          <w:sz w:val="24"/>
        </w:rPr>
        <w:t>Kitashirakawa</w:t>
      </w:r>
      <w:proofErr w:type="spellEnd"/>
      <w:r>
        <w:rPr>
          <w:sz w:val="24"/>
        </w:rPr>
        <w:t>-</w:t>
      </w:r>
      <w:r w:rsidRPr="0034687B">
        <w:rPr>
          <w:sz w:val="24"/>
        </w:rPr>
        <w:t xml:space="preserve"> </w:t>
      </w:r>
      <w:proofErr w:type="spellStart"/>
      <w:r w:rsidRPr="007F3970">
        <w:rPr>
          <w:sz w:val="24"/>
        </w:rPr>
        <w:t>Oiwake-cho</w:t>
      </w:r>
      <w:proofErr w:type="spellEnd"/>
      <w:r>
        <w:rPr>
          <w:sz w:val="24"/>
        </w:rPr>
        <w:t>,</w:t>
      </w:r>
      <w:r w:rsidRPr="007F3970">
        <w:rPr>
          <w:sz w:val="24"/>
        </w:rPr>
        <w:t xml:space="preserve"> </w:t>
      </w:r>
      <w:r w:rsidRPr="00362B84">
        <w:rPr>
          <w:sz w:val="24"/>
        </w:rPr>
        <w:t>Sakyo, Kyoto</w:t>
      </w:r>
      <w:r>
        <w:rPr>
          <w:sz w:val="24"/>
        </w:rPr>
        <w:t>,</w:t>
      </w:r>
      <w:r w:rsidRPr="00362B84">
        <w:rPr>
          <w:rFonts w:hint="eastAsia"/>
          <w:sz w:val="24"/>
        </w:rPr>
        <w:t xml:space="preserve"> </w:t>
      </w:r>
      <w:r w:rsidRPr="00362B84">
        <w:rPr>
          <w:sz w:val="24"/>
        </w:rPr>
        <w:t>606-850</w:t>
      </w:r>
      <w:r>
        <w:rPr>
          <w:sz w:val="24"/>
        </w:rPr>
        <w:t>2</w:t>
      </w:r>
      <w:r w:rsidRPr="00362B84">
        <w:rPr>
          <w:sz w:val="24"/>
        </w:rPr>
        <w:t xml:space="preserve"> Japan</w:t>
      </w:r>
    </w:p>
    <w:p w14:paraId="5A146827" w14:textId="57BC8FDC" w:rsidR="00DB31A3" w:rsidRPr="0034687B" w:rsidRDefault="002A619A" w:rsidP="00DB31A3">
      <w:pPr>
        <w:rPr>
          <w:sz w:val="24"/>
        </w:rPr>
      </w:pPr>
      <w:r>
        <w:rPr>
          <w:sz w:val="24"/>
          <w:vertAlign w:val="superscript"/>
        </w:rPr>
        <w:t>4</w:t>
      </w:r>
      <w:r w:rsidR="00DB31A3" w:rsidRPr="0034687B">
        <w:rPr>
          <w:sz w:val="24"/>
        </w:rPr>
        <w:t xml:space="preserve">Faculty of Agriculture, </w:t>
      </w:r>
      <w:proofErr w:type="spellStart"/>
      <w:r w:rsidR="00DB31A3" w:rsidRPr="0034687B">
        <w:rPr>
          <w:sz w:val="24"/>
        </w:rPr>
        <w:t>Kindai</w:t>
      </w:r>
      <w:proofErr w:type="spellEnd"/>
      <w:r w:rsidR="00DB31A3" w:rsidRPr="0034687B">
        <w:rPr>
          <w:sz w:val="24"/>
        </w:rPr>
        <w:t xml:space="preserve"> University, </w:t>
      </w:r>
      <w:r w:rsidR="00DB31A3" w:rsidRPr="007F3970">
        <w:rPr>
          <w:sz w:val="24"/>
        </w:rPr>
        <w:t xml:space="preserve">3327-204 </w:t>
      </w:r>
      <w:proofErr w:type="spellStart"/>
      <w:r w:rsidR="00DB31A3" w:rsidRPr="007F3970">
        <w:rPr>
          <w:sz w:val="24"/>
        </w:rPr>
        <w:t>Nakamachi</w:t>
      </w:r>
      <w:proofErr w:type="spellEnd"/>
      <w:r w:rsidR="00DB31A3">
        <w:rPr>
          <w:sz w:val="24"/>
        </w:rPr>
        <w:t xml:space="preserve">, </w:t>
      </w:r>
      <w:r w:rsidR="00DB31A3" w:rsidRPr="0034687B">
        <w:rPr>
          <w:sz w:val="24"/>
        </w:rPr>
        <w:t>Nara,</w:t>
      </w:r>
      <w:r w:rsidR="00DB31A3" w:rsidRPr="00362B84">
        <w:rPr>
          <w:sz w:val="24"/>
        </w:rPr>
        <w:t xml:space="preserve"> 631-8505</w:t>
      </w:r>
      <w:r w:rsidR="00DB31A3">
        <w:rPr>
          <w:sz w:val="24"/>
        </w:rPr>
        <w:t xml:space="preserve"> </w:t>
      </w:r>
      <w:r w:rsidR="00DB31A3" w:rsidRPr="0034687B">
        <w:rPr>
          <w:sz w:val="24"/>
        </w:rPr>
        <w:t>Japan</w:t>
      </w:r>
    </w:p>
    <w:p w14:paraId="5BEC85C5" w14:textId="126E5343" w:rsidR="00DB31A3" w:rsidRPr="0034687B" w:rsidRDefault="002A619A" w:rsidP="00DB31A3">
      <w:pPr>
        <w:rPr>
          <w:sz w:val="24"/>
        </w:rPr>
      </w:pPr>
      <w:r>
        <w:rPr>
          <w:sz w:val="24"/>
          <w:vertAlign w:val="superscript"/>
        </w:rPr>
        <w:t>5</w:t>
      </w:r>
      <w:r w:rsidR="00DB31A3" w:rsidRPr="0034687B">
        <w:rPr>
          <w:sz w:val="24"/>
        </w:rPr>
        <w:t xml:space="preserve">Inland Aquaculture Research and Development Division, Department of Fisheries, </w:t>
      </w:r>
      <w:r w:rsidR="00DB31A3" w:rsidRPr="007F3970">
        <w:rPr>
          <w:sz w:val="24"/>
        </w:rPr>
        <w:t xml:space="preserve">50 </w:t>
      </w:r>
      <w:proofErr w:type="spellStart"/>
      <w:r w:rsidR="00DB31A3" w:rsidRPr="007F3970">
        <w:rPr>
          <w:sz w:val="24"/>
        </w:rPr>
        <w:t>Phahonyothin</w:t>
      </w:r>
      <w:proofErr w:type="spellEnd"/>
      <w:r w:rsidR="00DB31A3" w:rsidRPr="007F3970">
        <w:rPr>
          <w:sz w:val="24"/>
        </w:rPr>
        <w:t xml:space="preserve"> Rd., Lat Yao, </w:t>
      </w:r>
      <w:proofErr w:type="spellStart"/>
      <w:r w:rsidR="00DB31A3" w:rsidRPr="007F3970">
        <w:rPr>
          <w:sz w:val="24"/>
        </w:rPr>
        <w:t>Chatuchak</w:t>
      </w:r>
      <w:proofErr w:type="spellEnd"/>
      <w:r w:rsidR="00DB31A3" w:rsidRPr="007F3970">
        <w:rPr>
          <w:sz w:val="24"/>
        </w:rPr>
        <w:t xml:space="preserve">, </w:t>
      </w:r>
      <w:r w:rsidR="00DB31A3" w:rsidRPr="0034687B">
        <w:rPr>
          <w:sz w:val="24"/>
        </w:rPr>
        <w:t xml:space="preserve">Bangkok, </w:t>
      </w:r>
      <w:r w:rsidR="00DB31A3" w:rsidRPr="00362B84">
        <w:rPr>
          <w:sz w:val="24"/>
        </w:rPr>
        <w:t>10900</w:t>
      </w:r>
      <w:r w:rsidR="00DB31A3">
        <w:rPr>
          <w:sz w:val="24"/>
        </w:rPr>
        <w:t xml:space="preserve"> </w:t>
      </w:r>
      <w:r w:rsidR="00DB31A3" w:rsidRPr="0034687B">
        <w:rPr>
          <w:sz w:val="24"/>
        </w:rPr>
        <w:t>Thailand</w:t>
      </w:r>
    </w:p>
    <w:p w14:paraId="1BD4BC19" w14:textId="2F178CEC" w:rsidR="00DB31A3" w:rsidRPr="0034687B" w:rsidRDefault="002A619A" w:rsidP="00DB31A3">
      <w:pPr>
        <w:rPr>
          <w:sz w:val="24"/>
        </w:rPr>
      </w:pPr>
      <w:r>
        <w:rPr>
          <w:sz w:val="24"/>
          <w:vertAlign w:val="superscript"/>
        </w:rPr>
        <w:t>6</w:t>
      </w:r>
      <w:r w:rsidR="00DB31A3" w:rsidRPr="0034687B">
        <w:rPr>
          <w:sz w:val="24"/>
        </w:rPr>
        <w:t>Thailand Institute of Nuclear Technology,</w:t>
      </w:r>
      <w:r w:rsidR="00DB31A3" w:rsidRPr="00C079B6">
        <w:t xml:space="preserve"> </w:t>
      </w:r>
      <w:r w:rsidR="00DB31A3" w:rsidRPr="00C079B6">
        <w:rPr>
          <w:sz w:val="24"/>
        </w:rPr>
        <w:t xml:space="preserve">9/9 Village No. 7, Sai Mun Subdistrict, </w:t>
      </w:r>
      <w:proofErr w:type="spellStart"/>
      <w:r w:rsidR="00DB31A3" w:rsidRPr="00C079B6">
        <w:rPr>
          <w:sz w:val="24"/>
        </w:rPr>
        <w:t>Ongkharak</w:t>
      </w:r>
      <w:proofErr w:type="spellEnd"/>
      <w:r w:rsidR="00DB31A3" w:rsidRPr="00C079B6">
        <w:rPr>
          <w:sz w:val="24"/>
        </w:rPr>
        <w:t xml:space="preserve"> District, Nakhon Nayok</w:t>
      </w:r>
      <w:r w:rsidR="00DB31A3" w:rsidRPr="0034687B">
        <w:rPr>
          <w:sz w:val="24"/>
        </w:rPr>
        <w:t xml:space="preserve">, </w:t>
      </w:r>
      <w:r w:rsidR="00DB31A3" w:rsidRPr="00362B84">
        <w:rPr>
          <w:sz w:val="24"/>
        </w:rPr>
        <w:t xml:space="preserve">26120 </w:t>
      </w:r>
      <w:r w:rsidR="00DB31A3" w:rsidRPr="0034687B">
        <w:rPr>
          <w:sz w:val="24"/>
        </w:rPr>
        <w:t>Thailand</w:t>
      </w:r>
    </w:p>
    <w:p w14:paraId="4B40C347" w14:textId="71035E98" w:rsidR="00DB31A3" w:rsidRPr="0034687B" w:rsidRDefault="002A619A" w:rsidP="00DB31A3">
      <w:pPr>
        <w:rPr>
          <w:sz w:val="24"/>
        </w:rPr>
      </w:pPr>
      <w:r>
        <w:rPr>
          <w:sz w:val="24"/>
          <w:vertAlign w:val="superscript"/>
        </w:rPr>
        <w:t>7</w:t>
      </w:r>
      <w:r w:rsidR="00DB31A3" w:rsidRPr="0034687B">
        <w:rPr>
          <w:sz w:val="24"/>
        </w:rPr>
        <w:t xml:space="preserve">Gifu World Freshwater Aquarium, </w:t>
      </w:r>
      <w:r w:rsidR="00DB31A3" w:rsidRPr="00C079B6">
        <w:rPr>
          <w:sz w:val="24"/>
        </w:rPr>
        <w:t xml:space="preserve">Kawashima </w:t>
      </w:r>
      <w:proofErr w:type="spellStart"/>
      <w:r w:rsidR="00DB31A3" w:rsidRPr="00C079B6">
        <w:rPr>
          <w:sz w:val="24"/>
        </w:rPr>
        <w:t>Kasada</w:t>
      </w:r>
      <w:proofErr w:type="spellEnd"/>
      <w:r w:rsidR="00DB31A3" w:rsidRPr="00C079B6">
        <w:rPr>
          <w:sz w:val="24"/>
        </w:rPr>
        <w:t>-machi,</w:t>
      </w:r>
      <w:r w:rsidR="00DB31A3">
        <w:rPr>
          <w:sz w:val="24"/>
        </w:rPr>
        <w:t xml:space="preserve"> </w:t>
      </w:r>
      <w:proofErr w:type="spellStart"/>
      <w:r w:rsidR="00DB31A3" w:rsidRPr="00362B84">
        <w:rPr>
          <w:sz w:val="24"/>
        </w:rPr>
        <w:t>Kakamigahara</w:t>
      </w:r>
      <w:proofErr w:type="spellEnd"/>
      <w:r w:rsidR="00DB31A3">
        <w:rPr>
          <w:sz w:val="24"/>
        </w:rPr>
        <w:t>,</w:t>
      </w:r>
      <w:r w:rsidR="00DB31A3" w:rsidRPr="00362B84">
        <w:rPr>
          <w:sz w:val="24"/>
        </w:rPr>
        <w:t xml:space="preserve"> </w:t>
      </w:r>
      <w:r w:rsidR="00DB31A3" w:rsidRPr="0034687B">
        <w:rPr>
          <w:sz w:val="24"/>
        </w:rPr>
        <w:t xml:space="preserve">Gifu, </w:t>
      </w:r>
      <w:r w:rsidR="00DB31A3" w:rsidRPr="00362B84">
        <w:rPr>
          <w:sz w:val="24"/>
        </w:rPr>
        <w:t>5016021</w:t>
      </w:r>
      <w:r w:rsidR="00DB31A3">
        <w:rPr>
          <w:sz w:val="24"/>
        </w:rPr>
        <w:t xml:space="preserve"> </w:t>
      </w:r>
      <w:r w:rsidR="00DB31A3" w:rsidRPr="0034687B">
        <w:rPr>
          <w:sz w:val="24"/>
        </w:rPr>
        <w:t>Japan</w:t>
      </w:r>
    </w:p>
    <w:p w14:paraId="0E905D7A" w14:textId="1CE585B2" w:rsidR="00DB31A3" w:rsidRPr="0034687B" w:rsidRDefault="002A619A" w:rsidP="00DB31A3">
      <w:pPr>
        <w:rPr>
          <w:sz w:val="24"/>
        </w:rPr>
      </w:pPr>
      <w:r>
        <w:rPr>
          <w:sz w:val="24"/>
          <w:vertAlign w:val="superscript"/>
        </w:rPr>
        <w:t>8</w:t>
      </w:r>
      <w:r w:rsidR="00DB31A3" w:rsidRPr="0034687B">
        <w:rPr>
          <w:sz w:val="24"/>
        </w:rPr>
        <w:t xml:space="preserve">Graduate School of Agriculture, Kyoto University, </w:t>
      </w:r>
      <w:proofErr w:type="spellStart"/>
      <w:r w:rsidR="00DB31A3" w:rsidRPr="007F3970">
        <w:rPr>
          <w:sz w:val="24"/>
        </w:rPr>
        <w:t>Kitashirakawa</w:t>
      </w:r>
      <w:proofErr w:type="spellEnd"/>
      <w:r w:rsidR="00DB31A3">
        <w:rPr>
          <w:sz w:val="24"/>
        </w:rPr>
        <w:t>-</w:t>
      </w:r>
      <w:r w:rsidR="00DB31A3" w:rsidRPr="0034687B">
        <w:rPr>
          <w:sz w:val="24"/>
        </w:rPr>
        <w:t xml:space="preserve"> </w:t>
      </w:r>
      <w:proofErr w:type="spellStart"/>
      <w:r w:rsidR="00DB31A3" w:rsidRPr="007F3970">
        <w:rPr>
          <w:sz w:val="24"/>
        </w:rPr>
        <w:t>Oiwake-cho</w:t>
      </w:r>
      <w:proofErr w:type="spellEnd"/>
      <w:r w:rsidR="00DB31A3">
        <w:rPr>
          <w:sz w:val="24"/>
        </w:rPr>
        <w:t>,</w:t>
      </w:r>
      <w:r w:rsidR="00DB31A3" w:rsidRPr="00362B84">
        <w:rPr>
          <w:sz w:val="24"/>
        </w:rPr>
        <w:t xml:space="preserve"> Sakyo, Kyoto</w:t>
      </w:r>
      <w:r w:rsidR="00DB31A3">
        <w:rPr>
          <w:sz w:val="24"/>
        </w:rPr>
        <w:t>,</w:t>
      </w:r>
      <w:r w:rsidR="00DB31A3" w:rsidRPr="00362B84">
        <w:rPr>
          <w:rFonts w:hint="eastAsia"/>
          <w:sz w:val="24"/>
        </w:rPr>
        <w:t xml:space="preserve"> </w:t>
      </w:r>
      <w:r w:rsidR="00DB31A3" w:rsidRPr="00362B84">
        <w:rPr>
          <w:sz w:val="24"/>
        </w:rPr>
        <w:t>606-850</w:t>
      </w:r>
      <w:r w:rsidR="00DB31A3">
        <w:rPr>
          <w:sz w:val="24"/>
        </w:rPr>
        <w:t xml:space="preserve">2 </w:t>
      </w:r>
      <w:r w:rsidR="00DB31A3" w:rsidRPr="0034687B">
        <w:rPr>
          <w:sz w:val="24"/>
        </w:rPr>
        <w:t>Japan</w:t>
      </w:r>
    </w:p>
    <w:p w14:paraId="535ECD43" w14:textId="315C8D5A" w:rsidR="00DB31A3" w:rsidRPr="0034687B" w:rsidRDefault="002A619A" w:rsidP="00DB31A3">
      <w:pPr>
        <w:rPr>
          <w:sz w:val="24"/>
        </w:rPr>
      </w:pPr>
      <w:r>
        <w:rPr>
          <w:sz w:val="24"/>
          <w:vertAlign w:val="superscript"/>
        </w:rPr>
        <w:t>9</w:t>
      </w:r>
      <w:r w:rsidR="00DB31A3" w:rsidRPr="0034687B">
        <w:rPr>
          <w:sz w:val="24"/>
        </w:rPr>
        <w:t xml:space="preserve">Chill Co., Ltd., </w:t>
      </w:r>
      <w:r w:rsidR="00DB31A3" w:rsidRPr="00C079B6">
        <w:rPr>
          <w:rFonts w:hint="eastAsia"/>
          <w:sz w:val="24"/>
        </w:rPr>
        <w:t>5-12-12</w:t>
      </w:r>
      <w:r w:rsidR="00DB31A3">
        <w:rPr>
          <w:sz w:val="24"/>
        </w:rPr>
        <w:t xml:space="preserve"> Sakae,</w:t>
      </w:r>
      <w:r w:rsidR="00DB31A3">
        <w:rPr>
          <w:rFonts w:hint="eastAsia"/>
          <w:sz w:val="24"/>
        </w:rPr>
        <w:t xml:space="preserve"> </w:t>
      </w:r>
      <w:proofErr w:type="spellStart"/>
      <w:r w:rsidR="00DB31A3" w:rsidRPr="00362B84">
        <w:rPr>
          <w:sz w:val="24"/>
        </w:rPr>
        <w:t>Niiza</w:t>
      </w:r>
      <w:proofErr w:type="spellEnd"/>
      <w:r w:rsidR="00DB31A3" w:rsidRPr="00362B84">
        <w:rPr>
          <w:sz w:val="24"/>
        </w:rPr>
        <w:t>, Saitama</w:t>
      </w:r>
      <w:r w:rsidR="00DB31A3">
        <w:rPr>
          <w:sz w:val="24"/>
        </w:rPr>
        <w:t>,</w:t>
      </w:r>
      <w:r w:rsidR="00DB31A3" w:rsidRPr="00362B84">
        <w:rPr>
          <w:sz w:val="24"/>
        </w:rPr>
        <w:t xml:space="preserve"> 352-0014</w:t>
      </w:r>
      <w:r w:rsidR="00DB31A3" w:rsidRPr="0034687B">
        <w:rPr>
          <w:sz w:val="24"/>
        </w:rPr>
        <w:t xml:space="preserve"> Japan</w:t>
      </w:r>
    </w:p>
    <w:p w14:paraId="76F5692A" w14:textId="77777777" w:rsidR="00DB31A3" w:rsidRPr="00C079B6" w:rsidRDefault="00DB31A3" w:rsidP="00DB31A3">
      <w:pPr>
        <w:rPr>
          <w:sz w:val="24"/>
        </w:rPr>
      </w:pPr>
    </w:p>
    <w:p w14:paraId="3FD06AB1" w14:textId="77777777" w:rsidR="00DB31A3" w:rsidRPr="0034687B" w:rsidRDefault="00DB31A3" w:rsidP="00DB31A3">
      <w:pPr>
        <w:rPr>
          <w:sz w:val="24"/>
        </w:rPr>
      </w:pPr>
      <w:r w:rsidRPr="0034687B">
        <w:rPr>
          <w:rFonts w:hint="eastAsia"/>
          <w:sz w:val="24"/>
        </w:rPr>
        <w:t>*</w:t>
      </w:r>
      <w:r w:rsidRPr="0034687B">
        <w:rPr>
          <w:sz w:val="24"/>
        </w:rPr>
        <w:t>Corresponding author:</w:t>
      </w:r>
    </w:p>
    <w:p w14:paraId="3999DAA6" w14:textId="77777777" w:rsidR="00DB31A3" w:rsidRDefault="00DB31A3" w:rsidP="00DB31A3">
      <w:pPr>
        <w:rPr>
          <w:sz w:val="24"/>
        </w:rPr>
      </w:pPr>
      <w:proofErr w:type="spellStart"/>
      <w:r w:rsidRPr="0034687B">
        <w:rPr>
          <w:rFonts w:hint="eastAsia"/>
          <w:sz w:val="24"/>
        </w:rPr>
        <w:t>A</w:t>
      </w:r>
      <w:r w:rsidRPr="0034687B">
        <w:rPr>
          <w:sz w:val="24"/>
        </w:rPr>
        <w:t>yano</w:t>
      </w:r>
      <w:proofErr w:type="spellEnd"/>
      <w:r w:rsidRPr="0034687B">
        <w:rPr>
          <w:sz w:val="24"/>
        </w:rPr>
        <w:t xml:space="preserve"> </w:t>
      </w:r>
      <w:proofErr w:type="spellStart"/>
      <w:r w:rsidRPr="0034687B">
        <w:rPr>
          <w:sz w:val="24"/>
        </w:rPr>
        <w:t>Medo</w:t>
      </w:r>
      <w:proofErr w:type="spellEnd"/>
    </w:p>
    <w:p w14:paraId="5E65DDAE" w14:textId="1FE53E60" w:rsidR="00DB31A3" w:rsidRDefault="00DB31A3" w:rsidP="00DB31A3">
      <w:pPr>
        <w:rPr>
          <w:sz w:val="24"/>
        </w:rPr>
      </w:pPr>
      <w:r>
        <w:rPr>
          <w:sz w:val="24"/>
        </w:rPr>
        <w:t xml:space="preserve">Postal address: </w:t>
      </w:r>
      <w:r w:rsidRPr="0034687B">
        <w:rPr>
          <w:sz w:val="24"/>
        </w:rPr>
        <w:t xml:space="preserve">Graduate School of Informatics, Kyoto University, </w:t>
      </w:r>
      <w:r>
        <w:rPr>
          <w:sz w:val="24"/>
        </w:rPr>
        <w:t>Yoshida-</w:t>
      </w:r>
      <w:proofErr w:type="spellStart"/>
      <w:r>
        <w:rPr>
          <w:sz w:val="24"/>
        </w:rPr>
        <w:t>honmachi</w:t>
      </w:r>
      <w:proofErr w:type="spellEnd"/>
      <w:r>
        <w:rPr>
          <w:sz w:val="24"/>
        </w:rPr>
        <w:t xml:space="preserve">, </w:t>
      </w:r>
      <w:r w:rsidRPr="00362B84">
        <w:rPr>
          <w:sz w:val="24"/>
        </w:rPr>
        <w:t>Sakyo, Kyoto</w:t>
      </w:r>
      <w:r>
        <w:rPr>
          <w:sz w:val="24"/>
        </w:rPr>
        <w:t>,</w:t>
      </w:r>
      <w:r w:rsidRPr="00362B84">
        <w:rPr>
          <w:rFonts w:hint="eastAsia"/>
          <w:sz w:val="24"/>
        </w:rPr>
        <w:t xml:space="preserve"> </w:t>
      </w:r>
      <w:r w:rsidRPr="00362B84">
        <w:rPr>
          <w:sz w:val="24"/>
        </w:rPr>
        <w:t>606-8501 Japan</w:t>
      </w:r>
    </w:p>
    <w:p w14:paraId="3896A172" w14:textId="4CC68D9F" w:rsidR="00DB31A3" w:rsidRDefault="00DB31A3" w:rsidP="00DB31A3">
      <w:pPr>
        <w:rPr>
          <w:sz w:val="24"/>
        </w:rPr>
      </w:pPr>
    </w:p>
    <w:p w14:paraId="295DE21B" w14:textId="76C50995" w:rsidR="00DB31A3" w:rsidRDefault="00DB31A3" w:rsidP="00DB31A3">
      <w:pPr>
        <w:widowControl/>
        <w:spacing w:line="480" w:lineRule="auto"/>
        <w:jc w:val="left"/>
        <w:rPr>
          <w:sz w:val="24"/>
        </w:rPr>
      </w:pPr>
      <w:r w:rsidRPr="0034687B">
        <w:rPr>
          <w:rFonts w:hint="eastAsia"/>
          <w:sz w:val="24"/>
        </w:rPr>
        <w:t>E</w:t>
      </w:r>
      <w:r w:rsidRPr="0034687B">
        <w:rPr>
          <w:sz w:val="24"/>
        </w:rPr>
        <w:t>-mail:</w:t>
      </w:r>
      <w:r>
        <w:rPr>
          <w:sz w:val="24"/>
        </w:rPr>
        <w:t xml:space="preserve"> medo.ayano@gmail.com </w:t>
      </w:r>
    </w:p>
    <w:p w14:paraId="572B5F44" w14:textId="25165FBF" w:rsidR="00DB31A3" w:rsidRPr="0034687B" w:rsidRDefault="00DB31A3" w:rsidP="00DB31A3">
      <w:pPr>
        <w:widowControl/>
        <w:jc w:val="left"/>
        <w:rPr>
          <w:sz w:val="24"/>
        </w:rPr>
      </w:pPr>
      <w:r>
        <w:rPr>
          <w:sz w:val="24"/>
        </w:rPr>
        <w:br w:type="page"/>
      </w:r>
      <w:r>
        <w:rPr>
          <w:sz w:val="24"/>
        </w:rPr>
        <w:lastRenderedPageBreak/>
        <w:t>Description</w:t>
      </w:r>
    </w:p>
    <w:p w14:paraId="4BEA4DA8" w14:textId="514C4C94" w:rsidR="00BE0787" w:rsidRDefault="00BE0787" w:rsidP="003F5C85">
      <w:pPr>
        <w:rPr>
          <w:sz w:val="24"/>
          <w:szCs w:val="28"/>
        </w:rPr>
      </w:pPr>
      <w:r>
        <w:rPr>
          <w:rFonts w:hint="eastAsia"/>
          <w:sz w:val="24"/>
          <w:szCs w:val="28"/>
        </w:rPr>
        <w:t>S</w:t>
      </w:r>
      <w:r>
        <w:rPr>
          <w:sz w:val="24"/>
          <w:szCs w:val="28"/>
        </w:rPr>
        <w:t>ample collection</w:t>
      </w:r>
    </w:p>
    <w:p w14:paraId="5022784D" w14:textId="229EDBAC" w:rsidR="003F5C85" w:rsidRDefault="003F5C85" w:rsidP="003F5C85">
      <w:pPr>
        <w:rPr>
          <w:sz w:val="24"/>
        </w:rPr>
      </w:pPr>
      <w:r>
        <w:rPr>
          <w:rFonts w:hint="eastAsia"/>
          <w:sz w:val="24"/>
          <w:szCs w:val="28"/>
        </w:rPr>
        <w:t>T</w:t>
      </w:r>
      <w:r>
        <w:rPr>
          <w:sz w:val="24"/>
          <w:szCs w:val="28"/>
        </w:rPr>
        <w:t xml:space="preserve">he </w:t>
      </w:r>
      <w:r w:rsidR="00462086">
        <w:rPr>
          <w:sz w:val="24"/>
          <w:szCs w:val="28"/>
        </w:rPr>
        <w:t xml:space="preserve">Mekong giant catfish </w:t>
      </w:r>
      <w:r>
        <w:rPr>
          <w:sz w:val="24"/>
          <w:szCs w:val="28"/>
        </w:rPr>
        <w:t>specimens were collected in</w:t>
      </w:r>
      <w:r w:rsidRPr="0034687B">
        <w:rPr>
          <w:sz w:val="24"/>
        </w:rPr>
        <w:t xml:space="preserve"> the </w:t>
      </w:r>
      <w:proofErr w:type="spellStart"/>
      <w:r w:rsidRPr="0034687B">
        <w:rPr>
          <w:sz w:val="24"/>
        </w:rPr>
        <w:t>Kaeng</w:t>
      </w:r>
      <w:proofErr w:type="spellEnd"/>
      <w:r w:rsidRPr="0034687B">
        <w:rPr>
          <w:sz w:val="24"/>
        </w:rPr>
        <w:t xml:space="preserve"> Krachan Reservoir, Phetchaburi Province, western Thailand (12º54´ N, 99º36´ E)</w:t>
      </w:r>
      <w:r>
        <w:rPr>
          <w:sz w:val="24"/>
        </w:rPr>
        <w:t xml:space="preserve"> from 2017 to 2019. </w:t>
      </w:r>
      <w:r w:rsidRPr="003F5C85">
        <w:rPr>
          <w:sz w:val="24"/>
        </w:rPr>
        <w:t xml:space="preserve">We collected the </w:t>
      </w:r>
      <w:r>
        <w:rPr>
          <w:sz w:val="24"/>
        </w:rPr>
        <w:t xml:space="preserve">Mekong giant </w:t>
      </w:r>
      <w:r w:rsidRPr="003F5C85">
        <w:rPr>
          <w:sz w:val="24"/>
        </w:rPr>
        <w:t xml:space="preserve">catfish of 148–230 cm in </w:t>
      </w:r>
      <w:r w:rsidR="00462086">
        <w:rPr>
          <w:sz w:val="24"/>
        </w:rPr>
        <w:t>total length (</w:t>
      </w:r>
      <w:r w:rsidRPr="003F5C85">
        <w:rPr>
          <w:sz w:val="24"/>
        </w:rPr>
        <w:t>TL</w:t>
      </w:r>
      <w:r w:rsidR="00462086">
        <w:rPr>
          <w:sz w:val="24"/>
        </w:rPr>
        <w:t>)</w:t>
      </w:r>
      <w:r w:rsidRPr="003F5C85">
        <w:rPr>
          <w:sz w:val="24"/>
        </w:rPr>
        <w:t xml:space="preserve"> caught by the local fisherman during the catfish fishing season of the reservoir, from November to December in </w:t>
      </w:r>
      <w:r w:rsidRPr="003F5C85">
        <w:rPr>
          <w:rFonts w:hint="eastAsia"/>
          <w:sz w:val="24"/>
        </w:rPr>
        <w:t>2</w:t>
      </w:r>
      <w:r w:rsidRPr="003F5C85">
        <w:rPr>
          <w:sz w:val="24"/>
        </w:rPr>
        <w:t>017 to 2019. After measuring the TL (cm) of the catfish, we collected dorsal muscles (</w:t>
      </w:r>
      <w:r w:rsidRPr="003F5C85">
        <w:rPr>
          <w:i/>
          <w:iCs/>
          <w:sz w:val="24"/>
        </w:rPr>
        <w:t>n</w:t>
      </w:r>
      <w:r w:rsidRPr="003F5C85">
        <w:rPr>
          <w:sz w:val="24"/>
        </w:rPr>
        <w:t xml:space="preserve"> = 29) for </w:t>
      </w:r>
      <w:r w:rsidRPr="003F5C85">
        <w:rPr>
          <w:rFonts w:hint="eastAsia"/>
          <w:sz w:val="24"/>
        </w:rPr>
        <w:t>s</w:t>
      </w:r>
      <w:r w:rsidRPr="003F5C85">
        <w:rPr>
          <w:sz w:val="24"/>
        </w:rPr>
        <w:t>table isotope analyses and ventral muscles (</w:t>
      </w:r>
      <w:r w:rsidRPr="003F5C85">
        <w:rPr>
          <w:i/>
          <w:iCs/>
          <w:sz w:val="24"/>
        </w:rPr>
        <w:t>n</w:t>
      </w:r>
      <w:r w:rsidRPr="003F5C85">
        <w:rPr>
          <w:sz w:val="24"/>
        </w:rPr>
        <w:t xml:space="preserve"> = 15) for </w:t>
      </w:r>
      <w:r>
        <w:rPr>
          <w:sz w:val="24"/>
        </w:rPr>
        <w:t>fatty acid (</w:t>
      </w:r>
      <w:r w:rsidRPr="003F5C85">
        <w:rPr>
          <w:sz w:val="24"/>
        </w:rPr>
        <w:t>FA</w:t>
      </w:r>
      <w:r>
        <w:rPr>
          <w:sz w:val="24"/>
        </w:rPr>
        <w:t>)</w:t>
      </w:r>
      <w:r w:rsidRPr="003F5C85">
        <w:rPr>
          <w:sz w:val="24"/>
        </w:rPr>
        <w:t xml:space="preserve"> analyses. </w:t>
      </w:r>
      <w:r w:rsidRPr="003F5C85">
        <w:rPr>
          <w:rFonts w:hint="eastAsia"/>
          <w:sz w:val="24"/>
        </w:rPr>
        <w:t>W</w:t>
      </w:r>
      <w:r w:rsidRPr="003F5C85">
        <w:rPr>
          <w:sz w:val="24"/>
        </w:rPr>
        <w:t xml:space="preserve">e could also </w:t>
      </w:r>
      <w:r w:rsidRPr="003F5C85">
        <w:rPr>
          <w:rFonts w:hint="eastAsia"/>
          <w:sz w:val="24"/>
        </w:rPr>
        <w:t>a</w:t>
      </w:r>
      <w:r w:rsidRPr="003F5C85">
        <w:rPr>
          <w:sz w:val="24"/>
        </w:rPr>
        <w:t>ccess the three juvenile samples (35–42 cm in TL) caught accidentally during the closed fishing season, from July to August 2017, and collected the dorsal muscles for stable isotope analyses. We also collected dorsal muscles from eight fish species</w:t>
      </w:r>
      <w:r w:rsidRPr="00812A9B">
        <w:rPr>
          <w:rFonts w:cs="Times New Roman"/>
          <w:sz w:val="24"/>
        </w:rPr>
        <w:t xml:space="preserve"> </w:t>
      </w:r>
      <w:r w:rsidR="00462086" w:rsidRPr="00812A9B">
        <w:rPr>
          <w:rFonts w:cs="Times New Roman"/>
          <w:sz w:val="24"/>
        </w:rPr>
        <w:t>(</w:t>
      </w:r>
      <w:proofErr w:type="spellStart"/>
      <w:r w:rsidR="003D34ED" w:rsidRPr="00812A9B">
        <w:rPr>
          <w:rFonts w:cs="Times New Roman"/>
          <w:i/>
          <w:iCs/>
          <w:sz w:val="24"/>
        </w:rPr>
        <w:t>Hampala</w:t>
      </w:r>
      <w:proofErr w:type="spellEnd"/>
      <w:r w:rsidR="003D34ED" w:rsidRPr="00812A9B">
        <w:rPr>
          <w:rFonts w:cs="Times New Roman"/>
          <w:i/>
          <w:iCs/>
          <w:sz w:val="24"/>
        </w:rPr>
        <w:t xml:space="preserve"> </w:t>
      </w:r>
      <w:proofErr w:type="spellStart"/>
      <w:r w:rsidR="003D34ED" w:rsidRPr="00812A9B">
        <w:rPr>
          <w:rFonts w:cs="Times New Roman"/>
          <w:i/>
          <w:iCs/>
          <w:sz w:val="24"/>
        </w:rPr>
        <w:t>macrolepidota</w:t>
      </w:r>
      <w:proofErr w:type="spellEnd"/>
      <w:r w:rsidR="003D34ED" w:rsidRPr="00812A9B">
        <w:rPr>
          <w:rFonts w:cs="Times New Roman"/>
          <w:sz w:val="24"/>
        </w:rPr>
        <w:t xml:space="preserve">, </w:t>
      </w:r>
      <w:r w:rsidR="003D34ED" w:rsidRPr="00812A9B">
        <w:rPr>
          <w:rFonts w:eastAsia="Yu Gothic" w:cs="Times New Roman"/>
          <w:i/>
          <w:iCs/>
          <w:color w:val="000000"/>
          <w:kern w:val="0"/>
          <w:sz w:val="24"/>
          <w:lang w:bidi="th-TH"/>
        </w:rPr>
        <w:t>Channa striata</w:t>
      </w:r>
      <w:r w:rsidR="003D34ED" w:rsidRPr="00812A9B">
        <w:rPr>
          <w:rFonts w:cs="Times New Roman"/>
          <w:sz w:val="24"/>
        </w:rPr>
        <w:t xml:space="preserve">, </w:t>
      </w:r>
      <w:proofErr w:type="spellStart"/>
      <w:r w:rsidR="003D34ED" w:rsidRPr="00812A9B">
        <w:rPr>
          <w:rFonts w:eastAsia="Yu Gothic" w:cs="Times New Roman"/>
          <w:i/>
          <w:iCs/>
          <w:color w:val="000000"/>
          <w:kern w:val="0"/>
          <w:sz w:val="24"/>
          <w:lang w:bidi="th-TH"/>
        </w:rPr>
        <w:t>Hemibagrus</w:t>
      </w:r>
      <w:proofErr w:type="spellEnd"/>
      <w:r w:rsidR="003D34ED" w:rsidRPr="00812A9B">
        <w:rPr>
          <w:rFonts w:eastAsia="Yu Gothic" w:cs="Times New Roman"/>
          <w:i/>
          <w:iCs/>
          <w:color w:val="000000"/>
          <w:kern w:val="0"/>
          <w:sz w:val="24"/>
          <w:lang w:bidi="th-TH"/>
        </w:rPr>
        <w:t xml:space="preserve"> </w:t>
      </w:r>
      <w:proofErr w:type="spellStart"/>
      <w:r w:rsidR="003D34ED" w:rsidRPr="00812A9B">
        <w:rPr>
          <w:rFonts w:eastAsia="Yu Gothic" w:cs="Times New Roman"/>
          <w:i/>
          <w:iCs/>
          <w:color w:val="000000"/>
          <w:kern w:val="0"/>
          <w:sz w:val="24"/>
          <w:lang w:bidi="th-TH"/>
        </w:rPr>
        <w:t>nemurus</w:t>
      </w:r>
      <w:proofErr w:type="spellEnd"/>
      <w:r w:rsidR="003D34ED" w:rsidRPr="00812A9B">
        <w:rPr>
          <w:rFonts w:cs="Times New Roman"/>
          <w:sz w:val="24"/>
        </w:rPr>
        <w:t xml:space="preserve">, </w:t>
      </w:r>
      <w:proofErr w:type="spellStart"/>
      <w:r w:rsidR="003D34ED" w:rsidRPr="00812A9B">
        <w:rPr>
          <w:rFonts w:eastAsia="Yu Gothic" w:cs="Times New Roman"/>
          <w:i/>
          <w:iCs/>
          <w:color w:val="000000"/>
          <w:kern w:val="0"/>
          <w:sz w:val="24"/>
          <w:lang w:bidi="th-TH"/>
        </w:rPr>
        <w:t>Notopterus</w:t>
      </w:r>
      <w:proofErr w:type="spellEnd"/>
      <w:r w:rsidR="003D34ED" w:rsidRPr="00812A9B">
        <w:rPr>
          <w:rFonts w:eastAsia="Yu Gothic" w:cs="Times New Roman"/>
          <w:i/>
          <w:iCs/>
          <w:color w:val="000000"/>
          <w:kern w:val="0"/>
          <w:sz w:val="24"/>
          <w:lang w:bidi="th-TH"/>
        </w:rPr>
        <w:t xml:space="preserve"> </w:t>
      </w:r>
      <w:proofErr w:type="spellStart"/>
      <w:r w:rsidR="003D34ED" w:rsidRPr="00812A9B">
        <w:rPr>
          <w:rFonts w:eastAsia="Yu Gothic" w:cs="Times New Roman"/>
          <w:i/>
          <w:iCs/>
          <w:color w:val="000000"/>
          <w:kern w:val="0"/>
          <w:sz w:val="24"/>
          <w:lang w:bidi="th-TH"/>
        </w:rPr>
        <w:t>notopterus</w:t>
      </w:r>
      <w:proofErr w:type="spellEnd"/>
      <w:r w:rsidR="003D34ED" w:rsidRPr="00812A9B">
        <w:rPr>
          <w:rFonts w:cs="Times New Roman"/>
          <w:sz w:val="24"/>
        </w:rPr>
        <w:t xml:space="preserve">, </w:t>
      </w:r>
      <w:proofErr w:type="spellStart"/>
      <w:r w:rsidR="003D34ED" w:rsidRPr="00812A9B">
        <w:rPr>
          <w:rFonts w:eastAsia="Yu Gothic" w:cs="Times New Roman"/>
          <w:i/>
          <w:iCs/>
          <w:color w:val="000000"/>
          <w:kern w:val="0"/>
          <w:sz w:val="24"/>
          <w:lang w:bidi="th-TH"/>
        </w:rPr>
        <w:t>Puntioplites</w:t>
      </w:r>
      <w:proofErr w:type="spellEnd"/>
      <w:r w:rsidR="003D34ED" w:rsidRPr="00812A9B">
        <w:rPr>
          <w:rFonts w:eastAsia="Yu Gothic" w:cs="Times New Roman"/>
          <w:i/>
          <w:iCs/>
          <w:color w:val="000000"/>
          <w:kern w:val="0"/>
          <w:sz w:val="24"/>
          <w:lang w:bidi="th-TH"/>
        </w:rPr>
        <w:t xml:space="preserve"> </w:t>
      </w:r>
      <w:proofErr w:type="spellStart"/>
      <w:r w:rsidR="003D34ED" w:rsidRPr="00812A9B">
        <w:rPr>
          <w:rFonts w:eastAsia="Yu Gothic" w:cs="Times New Roman"/>
          <w:i/>
          <w:iCs/>
          <w:color w:val="000000"/>
          <w:kern w:val="0"/>
          <w:sz w:val="24"/>
          <w:lang w:bidi="th-TH"/>
        </w:rPr>
        <w:t>proctozystron</w:t>
      </w:r>
      <w:proofErr w:type="spellEnd"/>
      <w:r w:rsidR="003D34ED" w:rsidRPr="00812A9B">
        <w:rPr>
          <w:rFonts w:cs="Times New Roman"/>
          <w:sz w:val="24"/>
        </w:rPr>
        <w:t xml:space="preserve">, </w:t>
      </w:r>
      <w:r w:rsidR="003D34ED" w:rsidRPr="00812A9B">
        <w:rPr>
          <w:rFonts w:eastAsia="Yu Gothic" w:cs="Times New Roman"/>
          <w:i/>
          <w:iCs/>
          <w:color w:val="000000"/>
          <w:kern w:val="0"/>
          <w:sz w:val="24"/>
          <w:lang w:bidi="th-TH"/>
        </w:rPr>
        <w:t xml:space="preserve">Oreochromis </w:t>
      </w:r>
      <w:proofErr w:type="spellStart"/>
      <w:r w:rsidR="003D34ED" w:rsidRPr="00812A9B">
        <w:rPr>
          <w:rFonts w:eastAsia="Yu Gothic" w:cs="Times New Roman"/>
          <w:i/>
          <w:iCs/>
          <w:color w:val="000000"/>
          <w:kern w:val="0"/>
          <w:sz w:val="24"/>
          <w:lang w:bidi="th-TH"/>
        </w:rPr>
        <w:t>niloticus</w:t>
      </w:r>
      <w:proofErr w:type="spellEnd"/>
      <w:r w:rsidR="003D34ED" w:rsidRPr="00812A9B">
        <w:rPr>
          <w:rFonts w:cs="Times New Roman"/>
          <w:sz w:val="24"/>
        </w:rPr>
        <w:t xml:space="preserve">, </w:t>
      </w:r>
      <w:proofErr w:type="spellStart"/>
      <w:r w:rsidR="003D34ED" w:rsidRPr="00812A9B">
        <w:rPr>
          <w:rFonts w:eastAsia="Yu Gothic" w:cs="Times New Roman"/>
          <w:i/>
          <w:iCs/>
          <w:color w:val="000000"/>
          <w:kern w:val="0"/>
          <w:sz w:val="24"/>
          <w:lang w:bidi="th-TH"/>
        </w:rPr>
        <w:t>Hypsibarbus</w:t>
      </w:r>
      <w:proofErr w:type="spellEnd"/>
      <w:r w:rsidR="003D34ED" w:rsidRPr="00812A9B">
        <w:rPr>
          <w:rFonts w:eastAsia="Yu Gothic" w:cs="Times New Roman"/>
          <w:i/>
          <w:iCs/>
          <w:color w:val="000000"/>
          <w:kern w:val="0"/>
          <w:sz w:val="24"/>
          <w:lang w:bidi="th-TH"/>
        </w:rPr>
        <w:t xml:space="preserve"> </w:t>
      </w:r>
      <w:proofErr w:type="spellStart"/>
      <w:r w:rsidR="003D34ED" w:rsidRPr="00812A9B">
        <w:rPr>
          <w:rFonts w:eastAsia="Yu Gothic" w:cs="Times New Roman"/>
          <w:i/>
          <w:iCs/>
          <w:color w:val="000000"/>
          <w:kern w:val="0"/>
          <w:sz w:val="24"/>
          <w:lang w:bidi="th-TH"/>
        </w:rPr>
        <w:t>wetmorei</w:t>
      </w:r>
      <w:proofErr w:type="spellEnd"/>
      <w:r w:rsidR="003D34ED" w:rsidRPr="00812A9B">
        <w:rPr>
          <w:rFonts w:cs="Times New Roman"/>
          <w:sz w:val="24"/>
        </w:rPr>
        <w:t xml:space="preserve">, and </w:t>
      </w:r>
      <w:proofErr w:type="spellStart"/>
      <w:r w:rsidR="003D34ED" w:rsidRPr="00812A9B">
        <w:rPr>
          <w:rFonts w:eastAsia="Yu Gothic" w:cs="Times New Roman"/>
          <w:i/>
          <w:iCs/>
          <w:color w:val="000000"/>
          <w:kern w:val="0"/>
          <w:sz w:val="24"/>
          <w:lang w:bidi="th-TH"/>
        </w:rPr>
        <w:t>Labeo</w:t>
      </w:r>
      <w:proofErr w:type="spellEnd"/>
      <w:r w:rsidR="003D34ED" w:rsidRPr="00812A9B">
        <w:rPr>
          <w:rFonts w:eastAsia="Yu Gothic" w:cs="Times New Roman"/>
          <w:i/>
          <w:iCs/>
          <w:color w:val="000000"/>
          <w:kern w:val="0"/>
          <w:sz w:val="24"/>
          <w:lang w:bidi="th-TH"/>
        </w:rPr>
        <w:t xml:space="preserve"> </w:t>
      </w:r>
      <w:proofErr w:type="spellStart"/>
      <w:r w:rsidR="003D34ED" w:rsidRPr="00812A9B">
        <w:rPr>
          <w:rFonts w:eastAsia="Yu Gothic" w:cs="Times New Roman"/>
          <w:i/>
          <w:iCs/>
          <w:color w:val="000000"/>
          <w:kern w:val="0"/>
          <w:sz w:val="24"/>
          <w:lang w:bidi="th-TH"/>
        </w:rPr>
        <w:t>rohita</w:t>
      </w:r>
      <w:proofErr w:type="spellEnd"/>
      <w:r w:rsidR="00462086" w:rsidRPr="00812A9B">
        <w:rPr>
          <w:rFonts w:cs="Times New Roman"/>
          <w:sz w:val="24"/>
        </w:rPr>
        <w:t xml:space="preserve">) </w:t>
      </w:r>
      <w:r w:rsidRPr="003F5C85">
        <w:rPr>
          <w:sz w:val="24"/>
        </w:rPr>
        <w:t xml:space="preserve">for stable isotope analysis and then collected ventral muscles from five out of the eight species </w:t>
      </w:r>
      <w:r w:rsidR="00462086">
        <w:rPr>
          <w:sz w:val="24"/>
        </w:rPr>
        <w:t>(</w:t>
      </w:r>
      <w:proofErr w:type="spellStart"/>
      <w:r w:rsidR="003D34ED" w:rsidRPr="007C6CF6">
        <w:rPr>
          <w:rFonts w:cs="Times New Roman"/>
          <w:i/>
          <w:iCs/>
          <w:sz w:val="24"/>
        </w:rPr>
        <w:t>Hampala</w:t>
      </w:r>
      <w:proofErr w:type="spellEnd"/>
      <w:r w:rsidR="003D34ED" w:rsidRPr="007C6CF6">
        <w:rPr>
          <w:rFonts w:cs="Times New Roman"/>
          <w:i/>
          <w:iCs/>
          <w:sz w:val="24"/>
        </w:rPr>
        <w:t xml:space="preserve"> </w:t>
      </w:r>
      <w:proofErr w:type="spellStart"/>
      <w:r w:rsidR="003D34ED" w:rsidRPr="007C6CF6">
        <w:rPr>
          <w:rFonts w:cs="Times New Roman"/>
          <w:i/>
          <w:iCs/>
          <w:sz w:val="24"/>
        </w:rPr>
        <w:t>macrolepidota</w:t>
      </w:r>
      <w:proofErr w:type="spellEnd"/>
      <w:r w:rsidR="003D34ED" w:rsidRPr="007C6CF6">
        <w:rPr>
          <w:rFonts w:cs="Times New Roman"/>
          <w:sz w:val="24"/>
        </w:rPr>
        <w:t xml:space="preserve">, </w:t>
      </w:r>
      <w:proofErr w:type="spellStart"/>
      <w:r w:rsidR="003D34ED" w:rsidRPr="007C6CF6">
        <w:rPr>
          <w:rFonts w:eastAsia="Yu Gothic" w:cs="Times New Roman"/>
          <w:i/>
          <w:iCs/>
          <w:color w:val="000000"/>
          <w:kern w:val="0"/>
          <w:sz w:val="24"/>
          <w:lang w:bidi="th-TH"/>
        </w:rPr>
        <w:t>Hemibagrus</w:t>
      </w:r>
      <w:proofErr w:type="spellEnd"/>
      <w:r w:rsidR="003D34ED" w:rsidRPr="007C6CF6">
        <w:rPr>
          <w:rFonts w:eastAsia="Yu Gothic" w:cs="Times New Roman"/>
          <w:i/>
          <w:iCs/>
          <w:color w:val="000000"/>
          <w:kern w:val="0"/>
          <w:sz w:val="24"/>
          <w:lang w:bidi="th-TH"/>
        </w:rPr>
        <w:t xml:space="preserve"> </w:t>
      </w:r>
      <w:proofErr w:type="spellStart"/>
      <w:r w:rsidR="003D34ED" w:rsidRPr="007C6CF6">
        <w:rPr>
          <w:rFonts w:eastAsia="Yu Gothic" w:cs="Times New Roman"/>
          <w:i/>
          <w:iCs/>
          <w:color w:val="000000"/>
          <w:kern w:val="0"/>
          <w:sz w:val="24"/>
          <w:lang w:bidi="th-TH"/>
        </w:rPr>
        <w:t>nemurus</w:t>
      </w:r>
      <w:proofErr w:type="spellEnd"/>
      <w:r w:rsidR="003D34ED" w:rsidRPr="007C6CF6">
        <w:rPr>
          <w:rFonts w:cs="Times New Roman"/>
          <w:sz w:val="24"/>
        </w:rPr>
        <w:t xml:space="preserve">, </w:t>
      </w:r>
      <w:proofErr w:type="spellStart"/>
      <w:r w:rsidR="003D34ED" w:rsidRPr="007C6CF6">
        <w:rPr>
          <w:rFonts w:eastAsia="Yu Gothic" w:cs="Times New Roman"/>
          <w:i/>
          <w:iCs/>
          <w:color w:val="000000"/>
          <w:kern w:val="0"/>
          <w:sz w:val="24"/>
          <w:lang w:bidi="th-TH"/>
        </w:rPr>
        <w:t>Puntioplites</w:t>
      </w:r>
      <w:proofErr w:type="spellEnd"/>
      <w:r w:rsidR="003D34ED" w:rsidRPr="007C6CF6">
        <w:rPr>
          <w:rFonts w:eastAsia="Yu Gothic" w:cs="Times New Roman"/>
          <w:i/>
          <w:iCs/>
          <w:color w:val="000000"/>
          <w:kern w:val="0"/>
          <w:sz w:val="24"/>
          <w:lang w:bidi="th-TH"/>
        </w:rPr>
        <w:t xml:space="preserve"> </w:t>
      </w:r>
      <w:proofErr w:type="spellStart"/>
      <w:r w:rsidR="003D34ED" w:rsidRPr="007C6CF6">
        <w:rPr>
          <w:rFonts w:eastAsia="Yu Gothic" w:cs="Times New Roman"/>
          <w:i/>
          <w:iCs/>
          <w:color w:val="000000"/>
          <w:kern w:val="0"/>
          <w:sz w:val="24"/>
          <w:lang w:bidi="th-TH"/>
        </w:rPr>
        <w:t>proctozystron</w:t>
      </w:r>
      <w:proofErr w:type="spellEnd"/>
      <w:r w:rsidR="003D34ED" w:rsidRPr="007C6CF6">
        <w:rPr>
          <w:rFonts w:cs="Times New Roman"/>
          <w:sz w:val="24"/>
        </w:rPr>
        <w:t xml:space="preserve">, </w:t>
      </w:r>
      <w:r w:rsidR="003D34ED" w:rsidRPr="007C6CF6">
        <w:rPr>
          <w:rFonts w:eastAsia="Yu Gothic" w:cs="Times New Roman"/>
          <w:i/>
          <w:iCs/>
          <w:color w:val="000000"/>
          <w:kern w:val="0"/>
          <w:sz w:val="24"/>
          <w:lang w:bidi="th-TH"/>
        </w:rPr>
        <w:t xml:space="preserve">Oreochromis </w:t>
      </w:r>
      <w:proofErr w:type="spellStart"/>
      <w:r w:rsidR="003D34ED" w:rsidRPr="007C6CF6">
        <w:rPr>
          <w:rFonts w:eastAsia="Yu Gothic" w:cs="Times New Roman"/>
          <w:i/>
          <w:iCs/>
          <w:color w:val="000000"/>
          <w:kern w:val="0"/>
          <w:sz w:val="24"/>
          <w:lang w:bidi="th-TH"/>
        </w:rPr>
        <w:t>niloticus</w:t>
      </w:r>
      <w:proofErr w:type="spellEnd"/>
      <w:r w:rsidR="003D34ED" w:rsidRPr="007C6CF6">
        <w:rPr>
          <w:rFonts w:cs="Times New Roman"/>
          <w:sz w:val="24"/>
        </w:rPr>
        <w:t>,</w:t>
      </w:r>
      <w:r w:rsidR="003D34ED">
        <w:rPr>
          <w:rFonts w:cs="Times New Roman"/>
          <w:sz w:val="24"/>
        </w:rPr>
        <w:t xml:space="preserve"> and</w:t>
      </w:r>
      <w:r w:rsidR="003D34ED" w:rsidRPr="007C6CF6">
        <w:rPr>
          <w:rFonts w:cs="Times New Roman"/>
          <w:sz w:val="24"/>
        </w:rPr>
        <w:t xml:space="preserve"> </w:t>
      </w:r>
      <w:proofErr w:type="spellStart"/>
      <w:r w:rsidR="003D34ED" w:rsidRPr="007C6CF6">
        <w:rPr>
          <w:rFonts w:eastAsia="Yu Gothic" w:cs="Times New Roman"/>
          <w:i/>
          <w:iCs/>
          <w:color w:val="000000"/>
          <w:kern w:val="0"/>
          <w:sz w:val="24"/>
          <w:lang w:bidi="th-TH"/>
        </w:rPr>
        <w:t>Hypsibarbus</w:t>
      </w:r>
      <w:proofErr w:type="spellEnd"/>
      <w:r w:rsidR="003D34ED" w:rsidRPr="007C6CF6">
        <w:rPr>
          <w:rFonts w:eastAsia="Yu Gothic" w:cs="Times New Roman"/>
          <w:i/>
          <w:iCs/>
          <w:color w:val="000000"/>
          <w:kern w:val="0"/>
          <w:sz w:val="24"/>
          <w:lang w:bidi="th-TH"/>
        </w:rPr>
        <w:t xml:space="preserve"> </w:t>
      </w:r>
      <w:proofErr w:type="spellStart"/>
      <w:r w:rsidR="003D34ED" w:rsidRPr="007C6CF6">
        <w:rPr>
          <w:rFonts w:eastAsia="Yu Gothic" w:cs="Times New Roman"/>
          <w:i/>
          <w:iCs/>
          <w:color w:val="000000"/>
          <w:kern w:val="0"/>
          <w:sz w:val="24"/>
          <w:lang w:bidi="th-TH"/>
        </w:rPr>
        <w:t>wetmorei</w:t>
      </w:r>
      <w:proofErr w:type="spellEnd"/>
      <w:r w:rsidR="00462086">
        <w:rPr>
          <w:sz w:val="24"/>
        </w:rPr>
        <w:t xml:space="preserve">) </w:t>
      </w:r>
      <w:r w:rsidRPr="003F5C85">
        <w:rPr>
          <w:sz w:val="24"/>
        </w:rPr>
        <w:t>for FA analysis. These fish species were selected to cover widely feeding habits (</w:t>
      </w:r>
      <w:r>
        <w:rPr>
          <w:sz w:val="24"/>
        </w:rPr>
        <w:t>i.e., piscivore, carnivore, insectivore, and herbivore</w:t>
      </w:r>
      <w:r w:rsidRPr="003F5C85">
        <w:rPr>
          <w:sz w:val="24"/>
        </w:rPr>
        <w:t xml:space="preserve">). </w:t>
      </w:r>
      <w:r>
        <w:rPr>
          <w:sz w:val="24"/>
        </w:rPr>
        <w:t xml:space="preserve">All fish specimens were bought at local fish markets </w:t>
      </w:r>
      <w:r w:rsidR="00462086">
        <w:rPr>
          <w:sz w:val="24"/>
        </w:rPr>
        <w:t>around the reservoir</w:t>
      </w:r>
      <w:r>
        <w:rPr>
          <w:sz w:val="24"/>
        </w:rPr>
        <w:t xml:space="preserve">. </w:t>
      </w:r>
      <w:r w:rsidRPr="003F5C85">
        <w:rPr>
          <w:sz w:val="24"/>
        </w:rPr>
        <w:t xml:space="preserve">To identify stable isotope values of lower trophic levels, we collected a variety of organisms and substrates, including aquatic insects (e.g., </w:t>
      </w:r>
      <w:proofErr w:type="spellStart"/>
      <w:r w:rsidRPr="003F5C85">
        <w:rPr>
          <w:sz w:val="24"/>
        </w:rPr>
        <w:t>Trichoptera</w:t>
      </w:r>
      <w:proofErr w:type="spellEnd"/>
      <w:r w:rsidRPr="003F5C85">
        <w:rPr>
          <w:sz w:val="24"/>
        </w:rPr>
        <w:t xml:space="preserve">, Anisoptera larvae, </w:t>
      </w:r>
      <w:proofErr w:type="spellStart"/>
      <w:r w:rsidRPr="003F5C85">
        <w:rPr>
          <w:sz w:val="24"/>
        </w:rPr>
        <w:t>Cymothoidae</w:t>
      </w:r>
      <w:proofErr w:type="spellEnd"/>
      <w:r w:rsidRPr="003F5C85">
        <w:rPr>
          <w:sz w:val="24"/>
        </w:rPr>
        <w:t xml:space="preserve">, </w:t>
      </w:r>
      <w:r w:rsidRPr="003F5C85">
        <w:rPr>
          <w:i/>
          <w:iCs/>
          <w:sz w:val="24"/>
        </w:rPr>
        <w:t xml:space="preserve">n </w:t>
      </w:r>
      <w:r w:rsidRPr="003F5C85">
        <w:rPr>
          <w:sz w:val="24"/>
        </w:rPr>
        <w:t xml:space="preserve">= </w:t>
      </w:r>
      <w:r w:rsidR="008D56D7">
        <w:rPr>
          <w:sz w:val="24"/>
        </w:rPr>
        <w:t>56</w:t>
      </w:r>
      <w:r w:rsidRPr="003F5C85">
        <w:rPr>
          <w:sz w:val="24"/>
        </w:rPr>
        <w:t>), shrimp (</w:t>
      </w:r>
      <w:r w:rsidRPr="003F5C85">
        <w:rPr>
          <w:rFonts w:hint="eastAsia"/>
          <w:i/>
          <w:iCs/>
          <w:sz w:val="24"/>
        </w:rPr>
        <w:t>n</w:t>
      </w:r>
      <w:r w:rsidRPr="003F5C85">
        <w:rPr>
          <w:sz w:val="24"/>
        </w:rPr>
        <w:t xml:space="preserve"> = 13), Chironomids larvae (n = 45), periphyton (</w:t>
      </w:r>
      <w:r w:rsidRPr="003F5C85">
        <w:rPr>
          <w:rFonts w:hint="eastAsia"/>
          <w:i/>
          <w:iCs/>
          <w:sz w:val="24"/>
        </w:rPr>
        <w:t>n</w:t>
      </w:r>
      <w:r w:rsidRPr="003F5C85">
        <w:rPr>
          <w:sz w:val="24"/>
        </w:rPr>
        <w:t xml:space="preserve"> = 51), particulate organic matter (POM, </w:t>
      </w:r>
      <w:r w:rsidRPr="003F5C85">
        <w:rPr>
          <w:rFonts w:hint="eastAsia"/>
          <w:i/>
          <w:iCs/>
          <w:sz w:val="24"/>
        </w:rPr>
        <w:t>n</w:t>
      </w:r>
      <w:r w:rsidRPr="003F5C85">
        <w:rPr>
          <w:sz w:val="24"/>
        </w:rPr>
        <w:t xml:space="preserve"> = 87), throughout three years (2017–2019). We also collected bottom sediments (</w:t>
      </w:r>
      <w:r w:rsidRPr="003F5C85">
        <w:rPr>
          <w:rFonts w:hint="eastAsia"/>
          <w:i/>
          <w:iCs/>
          <w:sz w:val="24"/>
        </w:rPr>
        <w:t>n</w:t>
      </w:r>
      <w:r w:rsidRPr="003F5C85">
        <w:rPr>
          <w:sz w:val="24"/>
        </w:rPr>
        <w:t xml:space="preserve"> = 16) for one year in 2019. </w:t>
      </w:r>
      <w:r w:rsidRPr="003F5C85">
        <w:rPr>
          <w:rFonts w:hint="eastAsia"/>
          <w:sz w:val="24"/>
        </w:rPr>
        <w:t>P</w:t>
      </w:r>
      <w:r w:rsidRPr="003F5C85">
        <w:rPr>
          <w:sz w:val="24"/>
        </w:rPr>
        <w:t>eriphyton was collected from the buoys, and then invertebrates (i.e., aquatic insects and shrimps) were removed from the periphyton.</w:t>
      </w:r>
      <w:r w:rsidRPr="003F5C85">
        <w:rPr>
          <w:rFonts w:hint="eastAsia"/>
          <w:sz w:val="24"/>
        </w:rPr>
        <w:t xml:space="preserve"> </w:t>
      </w:r>
      <w:r w:rsidRPr="003F5C85">
        <w:rPr>
          <w:sz w:val="24"/>
        </w:rPr>
        <w:t xml:space="preserve">Shrimps were also collected near the shore area in the reservoir using a dip net (2 mm mesh size). </w:t>
      </w:r>
      <w:r w:rsidRPr="003F5C85">
        <w:rPr>
          <w:rFonts w:hint="eastAsia"/>
          <w:sz w:val="24"/>
        </w:rPr>
        <w:t>Using</w:t>
      </w:r>
      <w:r w:rsidRPr="003F5C85">
        <w:rPr>
          <w:sz w:val="24"/>
        </w:rPr>
        <w:t xml:space="preserve"> a Van Dorn water sampler (w</w:t>
      </w:r>
      <w:r w:rsidRPr="003F5C85">
        <w:rPr>
          <w:rFonts w:hint="eastAsia"/>
          <w:sz w:val="24"/>
        </w:rPr>
        <w:t>ater capacity</w:t>
      </w:r>
      <w:r w:rsidRPr="003F5C85">
        <w:rPr>
          <w:sz w:val="24"/>
        </w:rPr>
        <w:t>,</w:t>
      </w:r>
      <w:r w:rsidRPr="003F5C85">
        <w:rPr>
          <w:rFonts w:hint="eastAsia"/>
          <w:sz w:val="24"/>
        </w:rPr>
        <w:t xml:space="preserve"> 6.0</w:t>
      </w:r>
      <w:r w:rsidRPr="003F5C85">
        <w:rPr>
          <w:sz w:val="24"/>
        </w:rPr>
        <w:t xml:space="preserve"> </w:t>
      </w:r>
      <w:r w:rsidRPr="003F5C85">
        <w:rPr>
          <w:rFonts w:hint="eastAsia"/>
          <w:sz w:val="24"/>
        </w:rPr>
        <w:t>L</w:t>
      </w:r>
      <w:r w:rsidRPr="003F5C85">
        <w:rPr>
          <w:sz w:val="24"/>
        </w:rPr>
        <w:t xml:space="preserve">; Miyamoto Riken Ind. Co, Ltd., Osaka, Japan), we collected 1–2 L of water samples at eight sites at three depths (0, 5, and 10 m) to draw POM samples by suction filtration with a glass microfiber GF/F filter (Whatman, </w:t>
      </w:r>
      <w:proofErr w:type="spellStart"/>
      <w:r w:rsidRPr="003F5C85">
        <w:rPr>
          <w:sz w:val="24"/>
        </w:rPr>
        <w:t>Maidstone</w:t>
      </w:r>
      <w:proofErr w:type="spellEnd"/>
      <w:r w:rsidRPr="003F5C85">
        <w:rPr>
          <w:sz w:val="24"/>
        </w:rPr>
        <w:t>, UK).</w:t>
      </w:r>
      <w:r w:rsidRPr="003F5C85">
        <w:rPr>
          <w:rFonts w:hint="eastAsia"/>
          <w:sz w:val="24"/>
        </w:rPr>
        <w:t xml:space="preserve"> </w:t>
      </w:r>
      <w:r w:rsidRPr="003F5C85">
        <w:rPr>
          <w:sz w:val="24"/>
        </w:rPr>
        <w:t>Sediment samples were collected using an Ekman-</w:t>
      </w:r>
      <w:proofErr w:type="spellStart"/>
      <w:r w:rsidRPr="003F5C85">
        <w:rPr>
          <w:sz w:val="24"/>
        </w:rPr>
        <w:t>Birge</w:t>
      </w:r>
      <w:proofErr w:type="spellEnd"/>
      <w:r w:rsidRPr="003F5C85">
        <w:rPr>
          <w:sz w:val="24"/>
        </w:rPr>
        <w:t xml:space="preserve"> grab at a depth of 3–30 m at 12 sites. We stored all samples in a</w:t>
      </w:r>
      <w:r w:rsidRPr="003F5C85">
        <w:rPr>
          <w:rFonts w:hint="eastAsia"/>
          <w:sz w:val="24"/>
        </w:rPr>
        <w:t xml:space="preserve"> </w:t>
      </w:r>
      <w:r w:rsidRPr="003F5C85">
        <w:rPr>
          <w:sz w:val="24"/>
        </w:rPr>
        <w:t xml:space="preserve">freezer at –20 ºC until further processing. </w:t>
      </w:r>
    </w:p>
    <w:p w14:paraId="1B50C6FB" w14:textId="04EE4076" w:rsidR="00BE0787" w:rsidRDefault="00BE0787" w:rsidP="003F5C85">
      <w:pPr>
        <w:rPr>
          <w:sz w:val="24"/>
        </w:rPr>
      </w:pPr>
    </w:p>
    <w:p w14:paraId="432BA7F6" w14:textId="0AEC23C6" w:rsidR="00BE0787" w:rsidRPr="003F5C85" w:rsidRDefault="00BE0787" w:rsidP="003F5C85">
      <w:pPr>
        <w:rPr>
          <w:sz w:val="24"/>
        </w:rPr>
      </w:pPr>
      <w:r>
        <w:rPr>
          <w:rFonts w:hint="eastAsia"/>
          <w:sz w:val="24"/>
        </w:rPr>
        <w:t>S</w:t>
      </w:r>
      <w:r>
        <w:rPr>
          <w:sz w:val="24"/>
        </w:rPr>
        <w:t>table isotope analysis</w:t>
      </w:r>
    </w:p>
    <w:p w14:paraId="231B4798" w14:textId="77777777" w:rsidR="003F5C85" w:rsidRPr="003F5C85" w:rsidRDefault="003F5C85" w:rsidP="003F5C85">
      <w:pPr>
        <w:rPr>
          <w:sz w:val="24"/>
        </w:rPr>
      </w:pPr>
      <w:r w:rsidRPr="003F5C85">
        <w:rPr>
          <w:sz w:val="24"/>
        </w:rPr>
        <w:tab/>
        <w:t xml:space="preserve">The sample processing for the stable isotope analysis for the catfish and the other specimens was conducted in Thailand Institute of Nuclear Technology (TINT) and Kyoto University, respectively. Biota samples (fish, periphyton, aquatic insects, and shrimp) </w:t>
      </w:r>
      <w:r w:rsidRPr="003F5C85">
        <w:rPr>
          <w:sz w:val="24"/>
        </w:rPr>
        <w:lastRenderedPageBreak/>
        <w:t xml:space="preserve">were oven-dried at 50 ºC for 48–72 h and then were powdered by mortar and pestle. The powdered fish samples were delipidated with chloroform-methanol (2:1 v/v). Approximately 0.5 mg of the samples was packed into tin capsules for </w:t>
      </w:r>
      <w:r w:rsidRPr="003F5C85">
        <w:rPr>
          <w:i/>
          <w:iCs/>
          <w:sz w:val="24"/>
        </w:rPr>
        <w:t>δ</w:t>
      </w:r>
      <w:r w:rsidRPr="003F5C85">
        <w:rPr>
          <w:sz w:val="24"/>
          <w:vertAlign w:val="superscript"/>
        </w:rPr>
        <w:t>13</w:t>
      </w:r>
      <w:r w:rsidRPr="003F5C85">
        <w:rPr>
          <w:sz w:val="24"/>
        </w:rPr>
        <w:t xml:space="preserve">C and </w:t>
      </w:r>
      <w:r w:rsidRPr="003F5C85">
        <w:rPr>
          <w:i/>
          <w:iCs/>
          <w:sz w:val="24"/>
        </w:rPr>
        <w:t>δ</w:t>
      </w:r>
      <w:r w:rsidRPr="003F5C85">
        <w:rPr>
          <w:sz w:val="24"/>
          <w:vertAlign w:val="superscript"/>
        </w:rPr>
        <w:t>15</w:t>
      </w:r>
      <w:r w:rsidRPr="003F5C85">
        <w:rPr>
          <w:sz w:val="24"/>
        </w:rPr>
        <w:t xml:space="preserve">N analyses. After POM (GF/F filters) and sediment samples were freeze-dried for 24 h, we packed the GF/F filters cut into 1/16–1/8 pieces and 2.0–5.0 mg of the sediment samples into tin capsules, respectively. </w:t>
      </w:r>
    </w:p>
    <w:p w14:paraId="68964624" w14:textId="62A55D5F" w:rsidR="003F5C85" w:rsidRPr="003F5C85" w:rsidRDefault="003F5C85" w:rsidP="003F5C85">
      <w:pPr>
        <w:rPr>
          <w:sz w:val="24"/>
        </w:rPr>
      </w:pPr>
      <w:r w:rsidRPr="003F5C85">
        <w:rPr>
          <w:sz w:val="24"/>
        </w:rPr>
        <w:tab/>
      </w:r>
      <w:r w:rsidRPr="003F5C85">
        <w:rPr>
          <w:i/>
          <w:iCs/>
          <w:sz w:val="24"/>
        </w:rPr>
        <w:t>δ</w:t>
      </w:r>
      <w:r w:rsidRPr="003F5C85">
        <w:rPr>
          <w:sz w:val="24"/>
          <w:vertAlign w:val="superscript"/>
        </w:rPr>
        <w:t>13</w:t>
      </w:r>
      <w:r w:rsidRPr="003F5C85">
        <w:rPr>
          <w:sz w:val="24"/>
        </w:rPr>
        <w:t xml:space="preserve">C and </w:t>
      </w:r>
      <w:r w:rsidRPr="003F5C85">
        <w:rPr>
          <w:i/>
          <w:iCs/>
          <w:sz w:val="24"/>
        </w:rPr>
        <w:t>δ</w:t>
      </w:r>
      <w:r w:rsidRPr="003F5C85">
        <w:rPr>
          <w:sz w:val="24"/>
          <w:vertAlign w:val="superscript"/>
        </w:rPr>
        <w:t>15</w:t>
      </w:r>
      <w:r w:rsidRPr="003F5C85">
        <w:rPr>
          <w:sz w:val="24"/>
        </w:rPr>
        <w:t xml:space="preserve">N for the catfish and the other samples were measured using EA-IRMS (Delta V equipped with an elemental analyzer Flash EA 2000, </w:t>
      </w:r>
      <w:proofErr w:type="spellStart"/>
      <w:r w:rsidRPr="003F5C85">
        <w:rPr>
          <w:sz w:val="24"/>
        </w:rPr>
        <w:t>Thermo</w:t>
      </w:r>
      <w:proofErr w:type="spellEnd"/>
      <w:r w:rsidRPr="003F5C85">
        <w:rPr>
          <w:sz w:val="24"/>
        </w:rPr>
        <w:t xml:space="preserve"> Fisher Scientific, MA, USA) in TINT and Center for Ecological Research, Kyoto University (CERKU), respectively. The sediment samples were measured using the EA-IRMS </w:t>
      </w:r>
      <w:r w:rsidR="0085454B">
        <w:rPr>
          <w:sz w:val="24"/>
        </w:rPr>
        <w:t xml:space="preserve">modified </w:t>
      </w:r>
      <w:r w:rsidRPr="003F5C85">
        <w:rPr>
          <w:sz w:val="24"/>
        </w:rPr>
        <w:t>for microanalysis in CERKU (</w:t>
      </w:r>
      <w:proofErr w:type="spellStart"/>
      <w:r w:rsidRPr="003F5C85">
        <w:rPr>
          <w:sz w:val="24"/>
        </w:rPr>
        <w:t>Koba</w:t>
      </w:r>
      <w:proofErr w:type="spellEnd"/>
      <w:r w:rsidRPr="003F5C85">
        <w:rPr>
          <w:sz w:val="24"/>
        </w:rPr>
        <w:t xml:space="preserve"> et al., 2021) due to its low total carbon and nitrogen contents. </w:t>
      </w:r>
      <w:r w:rsidRPr="003F5C85">
        <w:rPr>
          <w:i/>
          <w:iCs/>
          <w:sz w:val="24"/>
        </w:rPr>
        <w:t>δ</w:t>
      </w:r>
      <w:r w:rsidRPr="003F5C85">
        <w:rPr>
          <w:sz w:val="24"/>
          <w:vertAlign w:val="superscript"/>
        </w:rPr>
        <w:t>13</w:t>
      </w:r>
      <w:r w:rsidRPr="003F5C85">
        <w:rPr>
          <w:sz w:val="24"/>
        </w:rPr>
        <w:t xml:space="preserve">C and </w:t>
      </w:r>
      <w:r w:rsidRPr="003F5C85">
        <w:rPr>
          <w:i/>
          <w:iCs/>
          <w:sz w:val="24"/>
        </w:rPr>
        <w:t>δ</w:t>
      </w:r>
      <w:r w:rsidRPr="003F5C85">
        <w:rPr>
          <w:sz w:val="24"/>
          <w:vertAlign w:val="superscript"/>
        </w:rPr>
        <w:t>15</w:t>
      </w:r>
      <w:r w:rsidRPr="003F5C85">
        <w:rPr>
          <w:sz w:val="24"/>
        </w:rPr>
        <w:t>N (in ‰) were expressed as the deviation from standards according to the following equation:</w:t>
      </w:r>
    </w:p>
    <w:p w14:paraId="680DCE8F" w14:textId="77777777" w:rsidR="003F5C85" w:rsidRPr="003F5C85" w:rsidRDefault="003F5C85" w:rsidP="00A70858">
      <w:pPr>
        <w:jc w:val="center"/>
        <w:rPr>
          <w:sz w:val="24"/>
        </w:rPr>
      </w:pPr>
      <w:proofErr w:type="spellStart"/>
      <w:r w:rsidRPr="003F5C85">
        <w:rPr>
          <w:i/>
          <w:iCs/>
          <w:sz w:val="24"/>
        </w:rPr>
        <w:t>δ</w:t>
      </w:r>
      <w:r w:rsidRPr="003F5C85">
        <w:rPr>
          <w:rFonts w:hint="eastAsia"/>
          <w:sz w:val="24"/>
        </w:rPr>
        <w:t>X</w:t>
      </w:r>
      <w:proofErr w:type="spellEnd"/>
      <w:r w:rsidRPr="003F5C85">
        <w:rPr>
          <w:rFonts w:hint="eastAsia"/>
          <w:sz w:val="24"/>
        </w:rPr>
        <w:t xml:space="preserve"> = [</w:t>
      </w:r>
      <w:r w:rsidRPr="003F5C85">
        <w:rPr>
          <w:sz w:val="24"/>
        </w:rPr>
        <w:t xml:space="preserve"> </w:t>
      </w:r>
      <w:r w:rsidRPr="003F5C85">
        <w:rPr>
          <w:rFonts w:hint="eastAsia"/>
          <w:sz w:val="24"/>
        </w:rPr>
        <w:t>(</w:t>
      </w:r>
      <w:proofErr w:type="spellStart"/>
      <w:r w:rsidRPr="003F5C85">
        <w:rPr>
          <w:rFonts w:hint="eastAsia"/>
          <w:sz w:val="24"/>
        </w:rPr>
        <w:t>R</w:t>
      </w:r>
      <w:r w:rsidRPr="003F5C85">
        <w:rPr>
          <w:rFonts w:hint="eastAsia"/>
          <w:sz w:val="24"/>
          <w:vertAlign w:val="subscript"/>
        </w:rPr>
        <w:t>sample</w:t>
      </w:r>
      <w:proofErr w:type="spellEnd"/>
      <w:r w:rsidRPr="003F5C85">
        <w:rPr>
          <w:rFonts w:hint="eastAsia"/>
          <w:sz w:val="24"/>
        </w:rPr>
        <w:t xml:space="preserve"> / </w:t>
      </w:r>
      <w:proofErr w:type="spellStart"/>
      <w:r w:rsidRPr="003F5C85">
        <w:rPr>
          <w:rFonts w:hint="eastAsia"/>
          <w:sz w:val="24"/>
        </w:rPr>
        <w:t>R</w:t>
      </w:r>
      <w:r w:rsidRPr="003F5C85">
        <w:rPr>
          <w:rFonts w:hint="eastAsia"/>
          <w:sz w:val="24"/>
          <w:vertAlign w:val="subscript"/>
        </w:rPr>
        <w:t>standard</w:t>
      </w:r>
      <w:proofErr w:type="spellEnd"/>
      <w:r w:rsidRPr="003F5C85">
        <w:rPr>
          <w:rFonts w:hint="eastAsia"/>
          <w:sz w:val="24"/>
        </w:rPr>
        <w:t>) - 1]</w:t>
      </w:r>
      <w:r w:rsidRPr="003F5C85">
        <w:rPr>
          <w:sz w:val="24"/>
        </w:rPr>
        <w:t xml:space="preserve"> × </w:t>
      </w:r>
      <w:r w:rsidRPr="003F5C85">
        <w:rPr>
          <w:rFonts w:hint="eastAsia"/>
          <w:sz w:val="24"/>
        </w:rPr>
        <w:t>1000</w:t>
      </w:r>
    </w:p>
    <w:p w14:paraId="74BA2AF9" w14:textId="77777777" w:rsidR="003F5C85" w:rsidRPr="003F5C85" w:rsidRDefault="003F5C85" w:rsidP="003F5C85">
      <w:pPr>
        <w:rPr>
          <w:sz w:val="24"/>
        </w:rPr>
      </w:pPr>
      <w:r w:rsidRPr="003F5C85">
        <w:rPr>
          <w:sz w:val="24"/>
        </w:rPr>
        <w:t xml:space="preserve">where X is </w:t>
      </w:r>
      <w:r w:rsidRPr="003F5C85">
        <w:rPr>
          <w:sz w:val="24"/>
          <w:vertAlign w:val="superscript"/>
        </w:rPr>
        <w:t>13</w:t>
      </w:r>
      <w:r w:rsidRPr="003F5C85">
        <w:rPr>
          <w:sz w:val="24"/>
        </w:rPr>
        <w:t xml:space="preserve">C or </w:t>
      </w:r>
      <w:r w:rsidRPr="003F5C85">
        <w:rPr>
          <w:sz w:val="24"/>
          <w:vertAlign w:val="superscript"/>
        </w:rPr>
        <w:t>15</w:t>
      </w:r>
      <w:r w:rsidRPr="003F5C85">
        <w:rPr>
          <w:sz w:val="24"/>
        </w:rPr>
        <w:t xml:space="preserve">N, </w:t>
      </w:r>
      <w:proofErr w:type="spellStart"/>
      <w:r w:rsidRPr="003F5C85">
        <w:rPr>
          <w:rFonts w:hint="eastAsia"/>
          <w:sz w:val="24"/>
        </w:rPr>
        <w:t>R</w:t>
      </w:r>
      <w:r w:rsidRPr="003F5C85">
        <w:rPr>
          <w:rFonts w:hint="eastAsia"/>
          <w:sz w:val="24"/>
          <w:vertAlign w:val="subscript"/>
        </w:rPr>
        <w:t>sample</w:t>
      </w:r>
      <w:proofErr w:type="spellEnd"/>
      <w:r w:rsidRPr="003F5C85">
        <w:rPr>
          <w:sz w:val="24"/>
        </w:rPr>
        <w:t xml:space="preserve"> is the ratio (</w:t>
      </w:r>
      <w:r w:rsidRPr="003F5C85">
        <w:rPr>
          <w:sz w:val="24"/>
          <w:vertAlign w:val="superscript"/>
        </w:rPr>
        <w:t>13</w:t>
      </w:r>
      <w:r w:rsidRPr="003F5C85">
        <w:rPr>
          <w:sz w:val="24"/>
        </w:rPr>
        <w:t>C/</w:t>
      </w:r>
      <w:r w:rsidRPr="003F5C85">
        <w:rPr>
          <w:sz w:val="24"/>
          <w:vertAlign w:val="superscript"/>
        </w:rPr>
        <w:t>12</w:t>
      </w:r>
      <w:r w:rsidRPr="003F5C85">
        <w:rPr>
          <w:sz w:val="24"/>
        </w:rPr>
        <w:t xml:space="preserve">C or </w:t>
      </w:r>
      <w:r w:rsidRPr="003F5C85">
        <w:rPr>
          <w:sz w:val="24"/>
          <w:vertAlign w:val="superscript"/>
        </w:rPr>
        <w:t>15</w:t>
      </w:r>
      <w:r w:rsidRPr="003F5C85">
        <w:rPr>
          <w:sz w:val="24"/>
        </w:rPr>
        <w:t>N/</w:t>
      </w:r>
      <w:r w:rsidRPr="003F5C85">
        <w:rPr>
          <w:sz w:val="24"/>
          <w:vertAlign w:val="superscript"/>
        </w:rPr>
        <w:t>14</w:t>
      </w:r>
      <w:r w:rsidRPr="003F5C85">
        <w:rPr>
          <w:sz w:val="24"/>
        </w:rPr>
        <w:t xml:space="preserve">N) in the sample, and </w:t>
      </w:r>
      <w:proofErr w:type="spellStart"/>
      <w:r w:rsidRPr="003F5C85">
        <w:rPr>
          <w:rFonts w:hint="eastAsia"/>
          <w:sz w:val="24"/>
        </w:rPr>
        <w:t>R</w:t>
      </w:r>
      <w:r w:rsidRPr="003F5C85">
        <w:rPr>
          <w:rFonts w:hint="eastAsia"/>
          <w:sz w:val="24"/>
          <w:vertAlign w:val="subscript"/>
        </w:rPr>
        <w:t>standard</w:t>
      </w:r>
      <w:proofErr w:type="spellEnd"/>
      <w:r w:rsidRPr="003F5C85">
        <w:rPr>
          <w:sz w:val="24"/>
        </w:rPr>
        <w:t xml:space="preserve"> is the ratio in the standard. The standard reference materials were </w:t>
      </w:r>
      <w:proofErr w:type="spellStart"/>
      <w:r w:rsidRPr="003F5C85">
        <w:rPr>
          <w:sz w:val="24"/>
        </w:rPr>
        <w:t>PeeDee</w:t>
      </w:r>
      <w:proofErr w:type="spellEnd"/>
      <w:r w:rsidRPr="003F5C85">
        <w:rPr>
          <w:sz w:val="24"/>
        </w:rPr>
        <w:t xml:space="preserve"> Belemnite carbonate and atmospheric N</w:t>
      </w:r>
      <w:r w:rsidRPr="003F5C85">
        <w:rPr>
          <w:sz w:val="24"/>
          <w:vertAlign w:val="subscript"/>
        </w:rPr>
        <w:t>2</w:t>
      </w:r>
      <w:r w:rsidRPr="003F5C85">
        <w:rPr>
          <w:sz w:val="24"/>
        </w:rPr>
        <w:t xml:space="preserve"> for the carbon and nitrogen samples, respectively. Three working standards (CERKU-02, 03, and 05) were used to calibrate </w:t>
      </w:r>
      <w:r w:rsidRPr="003F5C85">
        <w:rPr>
          <w:i/>
          <w:iCs/>
          <w:sz w:val="24"/>
        </w:rPr>
        <w:t>δ</w:t>
      </w:r>
      <w:r w:rsidRPr="003F5C85">
        <w:rPr>
          <w:sz w:val="24"/>
          <w:vertAlign w:val="superscript"/>
        </w:rPr>
        <w:t>13</w:t>
      </w:r>
      <w:r w:rsidRPr="003F5C85">
        <w:rPr>
          <w:sz w:val="24"/>
        </w:rPr>
        <w:t xml:space="preserve">C and </w:t>
      </w:r>
      <w:r w:rsidRPr="003F5C85">
        <w:rPr>
          <w:i/>
          <w:iCs/>
          <w:sz w:val="24"/>
        </w:rPr>
        <w:t>δ</w:t>
      </w:r>
      <w:r w:rsidRPr="003F5C85">
        <w:rPr>
          <w:sz w:val="24"/>
          <w:vertAlign w:val="superscript"/>
        </w:rPr>
        <w:t>15</w:t>
      </w:r>
      <w:r w:rsidRPr="003F5C85">
        <w:rPr>
          <w:sz w:val="24"/>
        </w:rPr>
        <w:t>N (</w:t>
      </w:r>
      <w:proofErr w:type="spellStart"/>
      <w:r w:rsidRPr="003F5C85">
        <w:rPr>
          <w:sz w:val="24"/>
        </w:rPr>
        <w:t>Tayasu</w:t>
      </w:r>
      <w:proofErr w:type="spellEnd"/>
      <w:r w:rsidRPr="003F5C85">
        <w:rPr>
          <w:sz w:val="24"/>
        </w:rPr>
        <w:t xml:space="preserve"> et al., 2011). The overall analytical precision (standard deviation, SD) for our analyses in both facilities based on three working standards was within ± 0.1‰ for </w:t>
      </w:r>
      <w:r w:rsidRPr="003F5C85">
        <w:rPr>
          <w:i/>
          <w:iCs/>
          <w:sz w:val="24"/>
        </w:rPr>
        <w:t>δ</w:t>
      </w:r>
      <w:r w:rsidRPr="003F5C85">
        <w:rPr>
          <w:sz w:val="24"/>
          <w:vertAlign w:val="superscript"/>
        </w:rPr>
        <w:t>13</w:t>
      </w:r>
      <w:r w:rsidRPr="003F5C85">
        <w:rPr>
          <w:sz w:val="24"/>
        </w:rPr>
        <w:t xml:space="preserve">C and within ± 0.2‰ for </w:t>
      </w:r>
      <w:r w:rsidRPr="003F5C85">
        <w:rPr>
          <w:i/>
          <w:iCs/>
          <w:sz w:val="24"/>
        </w:rPr>
        <w:t>δ</w:t>
      </w:r>
      <w:r w:rsidRPr="003F5C85">
        <w:rPr>
          <w:sz w:val="24"/>
          <w:vertAlign w:val="superscript"/>
        </w:rPr>
        <w:t>15</w:t>
      </w:r>
      <w:r w:rsidRPr="003F5C85">
        <w:rPr>
          <w:sz w:val="24"/>
        </w:rPr>
        <w:t>N.</w:t>
      </w:r>
    </w:p>
    <w:p w14:paraId="250F894C" w14:textId="77777777" w:rsidR="003F5C85" w:rsidRPr="003F5C85" w:rsidRDefault="003F5C85" w:rsidP="003F5C85">
      <w:pPr>
        <w:rPr>
          <w:sz w:val="24"/>
        </w:rPr>
      </w:pPr>
    </w:p>
    <w:p w14:paraId="6012DF61" w14:textId="77777777" w:rsidR="003F5C85" w:rsidRPr="003F5C85" w:rsidRDefault="003F5C85" w:rsidP="003F5C85">
      <w:pPr>
        <w:rPr>
          <w:sz w:val="24"/>
        </w:rPr>
      </w:pPr>
      <w:r w:rsidRPr="003F5C85">
        <w:rPr>
          <w:sz w:val="24"/>
        </w:rPr>
        <w:t>Fatty acid analysis</w:t>
      </w:r>
    </w:p>
    <w:p w14:paraId="4F1083F9" w14:textId="333DBA6A" w:rsidR="003F5C85" w:rsidRPr="003F5C85" w:rsidRDefault="003F5C85" w:rsidP="003F5C85">
      <w:pPr>
        <w:rPr>
          <w:sz w:val="24"/>
        </w:rPr>
      </w:pPr>
      <w:r w:rsidRPr="003F5C85">
        <w:rPr>
          <w:sz w:val="24"/>
        </w:rPr>
        <w:tab/>
        <w:t>We used the subadult Mekong giant catfish and five</w:t>
      </w:r>
      <w:r w:rsidRPr="003F5C85">
        <w:rPr>
          <w:rFonts w:hint="eastAsia"/>
          <w:sz w:val="24"/>
        </w:rPr>
        <w:t xml:space="preserve"> </w:t>
      </w:r>
      <w:r w:rsidRPr="003F5C85">
        <w:rPr>
          <w:sz w:val="24"/>
        </w:rPr>
        <w:t xml:space="preserve">out of eight fish species for FA analysis. The sample processing for the FA analysis for the catfish and the other fish species was conducted in TINT and Kyoto University, respectively. All muscle </w:t>
      </w:r>
      <w:r w:rsidRPr="003F5C85">
        <w:rPr>
          <w:rFonts w:hint="eastAsia"/>
          <w:sz w:val="24"/>
        </w:rPr>
        <w:t>s</w:t>
      </w:r>
      <w:r w:rsidRPr="003F5C85">
        <w:rPr>
          <w:sz w:val="24"/>
        </w:rPr>
        <w:t xml:space="preserve">amples of the fish were freeze-dried for 24–48 h and then were crushed by scissors. We used the samples of </w:t>
      </w:r>
      <w:r w:rsidRPr="003F5C85">
        <w:rPr>
          <w:rFonts w:hint="eastAsia"/>
          <w:sz w:val="24"/>
        </w:rPr>
        <w:t>1</w:t>
      </w:r>
      <w:r w:rsidRPr="003F5C85">
        <w:rPr>
          <w:sz w:val="24"/>
        </w:rPr>
        <w:t xml:space="preserve">00 mg in dry mass for the lipid extractions by Bligh-Dyer method (Bligh &amp; Dyer, 1959). Then, we conducted saponification and methylation of the free-lipids by HCl–methanol (one-step method). </w:t>
      </w:r>
      <w:r w:rsidRPr="003F5C85">
        <w:rPr>
          <w:rFonts w:hint="eastAsia"/>
          <w:sz w:val="24"/>
        </w:rPr>
        <w:t>F</w:t>
      </w:r>
      <w:r w:rsidRPr="003F5C85">
        <w:rPr>
          <w:sz w:val="24"/>
        </w:rPr>
        <w:t xml:space="preserve">or the catfish, we identified the structures of the individual fatty acid methyl esters (FAMEs) separately and then identified the FAME composition by a gas chromatography (GC) with a MS </w:t>
      </w:r>
      <w:r w:rsidR="0085454B">
        <w:rPr>
          <w:sz w:val="24"/>
        </w:rPr>
        <w:t>(</w:t>
      </w:r>
      <w:r w:rsidRPr="003F5C85">
        <w:rPr>
          <w:sz w:val="24"/>
        </w:rPr>
        <w:t>GCMS-QP2020</w:t>
      </w:r>
      <w:r w:rsidRPr="003F5C85">
        <w:rPr>
          <w:rFonts w:hint="eastAsia"/>
          <w:sz w:val="24"/>
        </w:rPr>
        <w:t>,</w:t>
      </w:r>
      <w:r w:rsidRPr="003F5C85">
        <w:rPr>
          <w:sz w:val="24"/>
        </w:rPr>
        <w:t xml:space="preserve"> Shimadzu Scientific Instruments, Kyoto, Japan), recording electron impact mass spectra, in </w:t>
      </w:r>
      <w:proofErr w:type="spellStart"/>
      <w:r w:rsidRPr="003F5C85">
        <w:rPr>
          <w:sz w:val="24"/>
        </w:rPr>
        <w:t>Kasetsart</w:t>
      </w:r>
      <w:proofErr w:type="spellEnd"/>
      <w:r w:rsidRPr="003F5C85">
        <w:rPr>
          <w:sz w:val="24"/>
        </w:rPr>
        <w:t xml:space="preserve"> University, Thailand.</w:t>
      </w:r>
      <w:r w:rsidRPr="003F5C85">
        <w:rPr>
          <w:rFonts w:hint="eastAsia"/>
          <w:sz w:val="24"/>
        </w:rPr>
        <w:t xml:space="preserve"> </w:t>
      </w:r>
      <w:r w:rsidRPr="003F5C85">
        <w:rPr>
          <w:sz w:val="24"/>
        </w:rPr>
        <w:t>For the other fishes, the FAME composition was quantitatively analyzed by a GC coupled to a flame-ionization detector (FID</w:t>
      </w:r>
      <w:r w:rsidRPr="003F5C85">
        <w:rPr>
          <w:rFonts w:hint="eastAsia"/>
          <w:sz w:val="24"/>
        </w:rPr>
        <w:t>;</w:t>
      </w:r>
      <w:r w:rsidRPr="003F5C85">
        <w:rPr>
          <w:sz w:val="24"/>
        </w:rPr>
        <w:t xml:space="preserve"> GC-14B</w:t>
      </w:r>
      <w:r w:rsidRPr="003F5C85">
        <w:rPr>
          <w:rFonts w:hint="eastAsia"/>
          <w:sz w:val="24"/>
        </w:rPr>
        <w:t>,</w:t>
      </w:r>
      <w:r w:rsidRPr="003F5C85">
        <w:rPr>
          <w:sz w:val="24"/>
        </w:rPr>
        <w:t xml:space="preserve"> Shimadzu Scientific Instruments, Kyoto, Japan), and the structures of the individual </w:t>
      </w:r>
      <w:r w:rsidRPr="003F5C85">
        <w:rPr>
          <w:sz w:val="24"/>
        </w:rPr>
        <w:lastRenderedPageBreak/>
        <w:t>FAMEs were separately identified by using GC with a mass spectrometer (MS; GCMS-QP5050</w:t>
      </w:r>
      <w:r w:rsidRPr="003F5C85">
        <w:rPr>
          <w:rFonts w:hint="eastAsia"/>
          <w:sz w:val="24"/>
        </w:rPr>
        <w:t>,</w:t>
      </w:r>
      <w:r w:rsidRPr="003F5C85">
        <w:rPr>
          <w:sz w:val="24"/>
        </w:rPr>
        <w:t xml:space="preserve"> Shimadzu Scientific Instruments, Kyoto, Japan) in Kyoto University, Japan. Each GC was equipped with a </w:t>
      </w:r>
      <w:proofErr w:type="spellStart"/>
      <w:r w:rsidRPr="003F5C85">
        <w:rPr>
          <w:sz w:val="24"/>
        </w:rPr>
        <w:t>Omegawax</w:t>
      </w:r>
      <w:proofErr w:type="spellEnd"/>
      <w:r w:rsidRPr="003F5C85">
        <w:rPr>
          <w:rFonts w:hint="eastAsia"/>
          <w:sz w:val="24"/>
        </w:rPr>
        <w:t xml:space="preserve"> </w:t>
      </w:r>
      <w:r w:rsidRPr="003F5C85">
        <w:rPr>
          <w:sz w:val="24"/>
        </w:rPr>
        <w:t>capillary column (30 m × 0.25 mm</w:t>
      </w:r>
      <w:r w:rsidRPr="003F5C85">
        <w:rPr>
          <w:rFonts w:hint="eastAsia"/>
          <w:sz w:val="24"/>
        </w:rPr>
        <w:t>,</w:t>
      </w:r>
      <w:r w:rsidRPr="003F5C85">
        <w:rPr>
          <w:sz w:val="24"/>
        </w:rPr>
        <w:t xml:space="preserve"> </w:t>
      </w:r>
      <w:proofErr w:type="spellStart"/>
      <w:r w:rsidRPr="003F5C85">
        <w:rPr>
          <w:sz w:val="24"/>
        </w:rPr>
        <w:t>i.d.</w:t>
      </w:r>
      <w:proofErr w:type="spellEnd"/>
      <w:r w:rsidRPr="003F5C85">
        <w:rPr>
          <w:sz w:val="24"/>
        </w:rPr>
        <w:t xml:space="preserve">, 0.25 µm film thickness, </w:t>
      </w:r>
      <w:proofErr w:type="spellStart"/>
      <w:r w:rsidRPr="003F5C85">
        <w:rPr>
          <w:sz w:val="24"/>
        </w:rPr>
        <w:t>Supelco</w:t>
      </w:r>
      <w:proofErr w:type="spellEnd"/>
      <w:r w:rsidRPr="003F5C85">
        <w:rPr>
          <w:sz w:val="24"/>
        </w:rPr>
        <w:t xml:space="preserve">, USA). The following temperature gradient and instrument settings were used: the GC columns initial temperature was 140 °C; this was held for 2.5 min then ramped at 4 °C/min to 240 °C and then kept for 15 min; giving a total runtime of 42.5 min. </w:t>
      </w:r>
      <w:r w:rsidRPr="003F5C85">
        <w:rPr>
          <w:rFonts w:ascii="Calibri" w:hAnsi="Calibri" w:cs="Calibri"/>
          <w:sz w:val="24"/>
        </w:rPr>
        <w:t>﻿</w:t>
      </w:r>
      <w:r w:rsidRPr="003F5C85">
        <w:rPr>
          <w:sz w:val="24"/>
        </w:rPr>
        <w:t xml:space="preserve">Nitrogen and helium gas was used as the carrier for FID and MS, respectively. The individual FAMEs were identified by comparing with the retention times of authentic standard mixtures, </w:t>
      </w:r>
      <w:proofErr w:type="spellStart"/>
      <w:r w:rsidRPr="003F5C85">
        <w:rPr>
          <w:sz w:val="24"/>
        </w:rPr>
        <w:t>Supelco</w:t>
      </w:r>
      <w:proofErr w:type="spellEnd"/>
      <w:r w:rsidRPr="003F5C85">
        <w:rPr>
          <w:sz w:val="24"/>
        </w:rPr>
        <w:t xml:space="preserve"> </w:t>
      </w:r>
      <w:r w:rsidRPr="003F5C85">
        <w:rPr>
          <w:rFonts w:hint="eastAsia"/>
          <w:sz w:val="24"/>
        </w:rPr>
        <w:t>F</w:t>
      </w:r>
      <w:r w:rsidRPr="003F5C85">
        <w:rPr>
          <w:sz w:val="24"/>
        </w:rPr>
        <w:t xml:space="preserve">AME mix 37 components (Sigma-Aldrich, St. Louis, MO, US), and with spectrographic patterns from mass spectral library (NIST107.LIB and NIST21.LIB). The proportion of </w:t>
      </w:r>
      <w:r w:rsidR="00AF2515">
        <w:rPr>
          <w:sz w:val="24"/>
        </w:rPr>
        <w:t>FA</w:t>
      </w:r>
      <w:r w:rsidRPr="003F5C85">
        <w:rPr>
          <w:sz w:val="24"/>
        </w:rPr>
        <w:t xml:space="preserve"> (%) was determined by ratio of each FAME peak area to the total areas of all peaks from FID analysis. The FAs were abbreviated following the common nomenclature </w:t>
      </w:r>
      <w:proofErr w:type="spellStart"/>
      <w:proofErr w:type="gramStart"/>
      <w:r w:rsidRPr="003F5C85">
        <w:rPr>
          <w:sz w:val="24"/>
        </w:rPr>
        <w:t>X:Yn</w:t>
      </w:r>
      <w:proofErr w:type="gramEnd"/>
      <w:r w:rsidRPr="003F5C85">
        <w:rPr>
          <w:sz w:val="24"/>
        </w:rPr>
        <w:t>-Z</w:t>
      </w:r>
      <w:proofErr w:type="spellEnd"/>
      <w:r w:rsidRPr="003F5C85">
        <w:rPr>
          <w:sz w:val="24"/>
        </w:rPr>
        <w:t xml:space="preserve">, where X is the number of carbons, Y is the number of double bonds, and Z is the position of the first double bond counted from the end of methyl group in FA (e.g. 20:5n-3). </w:t>
      </w:r>
      <w:proofErr w:type="spellStart"/>
      <w:r w:rsidRPr="003F5C85">
        <w:rPr>
          <w:sz w:val="24"/>
        </w:rPr>
        <w:t>i</w:t>
      </w:r>
      <w:proofErr w:type="spellEnd"/>
      <w:r w:rsidRPr="003F5C85">
        <w:rPr>
          <w:sz w:val="24"/>
        </w:rPr>
        <w:t xml:space="preserve">- and a- of branched FA represented iso- and </w:t>
      </w:r>
      <w:proofErr w:type="spellStart"/>
      <w:r w:rsidRPr="003F5C85">
        <w:rPr>
          <w:sz w:val="24"/>
        </w:rPr>
        <w:t>anteiso</w:t>
      </w:r>
      <w:proofErr w:type="spellEnd"/>
      <w:r w:rsidRPr="003F5C85">
        <w:rPr>
          <w:sz w:val="24"/>
        </w:rPr>
        <w:t>-, respectively.</w:t>
      </w:r>
    </w:p>
    <w:p w14:paraId="75BD0738" w14:textId="77777777" w:rsidR="003F5C85" w:rsidRPr="003F5C85" w:rsidRDefault="003F5C85" w:rsidP="003F5C85">
      <w:pPr>
        <w:rPr>
          <w:sz w:val="24"/>
        </w:rPr>
      </w:pPr>
    </w:p>
    <w:p w14:paraId="4C559874" w14:textId="3DD14BA6" w:rsidR="00DB31A3" w:rsidRDefault="00A70858" w:rsidP="003F5C85">
      <w:pPr>
        <w:rPr>
          <w:sz w:val="24"/>
          <w:szCs w:val="28"/>
        </w:rPr>
      </w:pPr>
      <w:r>
        <w:rPr>
          <w:sz w:val="24"/>
          <w:szCs w:val="28"/>
        </w:rPr>
        <w:t>References</w:t>
      </w:r>
    </w:p>
    <w:p w14:paraId="66331BF1" w14:textId="096739F3" w:rsidR="00A70858" w:rsidRDefault="00A70858" w:rsidP="00A70858">
      <w:pPr>
        <w:rPr>
          <w:sz w:val="24"/>
          <w:szCs w:val="28"/>
        </w:rPr>
      </w:pPr>
      <w:proofErr w:type="spellStart"/>
      <w:r w:rsidRPr="00A70858">
        <w:rPr>
          <w:sz w:val="24"/>
          <w:szCs w:val="28"/>
        </w:rPr>
        <w:t>Koba</w:t>
      </w:r>
      <w:proofErr w:type="spellEnd"/>
      <w:r w:rsidRPr="00A70858">
        <w:rPr>
          <w:sz w:val="24"/>
          <w:szCs w:val="28"/>
        </w:rPr>
        <w:t xml:space="preserve">, K., K. Kinoshita, Y. </w:t>
      </w:r>
      <w:proofErr w:type="spellStart"/>
      <w:r w:rsidRPr="00A70858">
        <w:rPr>
          <w:sz w:val="24"/>
          <w:szCs w:val="28"/>
        </w:rPr>
        <w:t>Onishi</w:t>
      </w:r>
      <w:proofErr w:type="spellEnd"/>
      <w:r w:rsidRPr="00A70858">
        <w:rPr>
          <w:sz w:val="24"/>
          <w:szCs w:val="28"/>
        </w:rPr>
        <w:t xml:space="preserve">, K. Fukushima, K. Osaka, N. Matsuo, K. </w:t>
      </w:r>
      <w:proofErr w:type="spellStart"/>
      <w:r w:rsidRPr="00A70858">
        <w:rPr>
          <w:sz w:val="24"/>
          <w:szCs w:val="28"/>
        </w:rPr>
        <w:t>Funakawa</w:t>
      </w:r>
      <w:proofErr w:type="spellEnd"/>
      <w:r w:rsidRPr="00A70858">
        <w:rPr>
          <w:sz w:val="24"/>
          <w:szCs w:val="28"/>
        </w:rPr>
        <w:t xml:space="preserve">, Y. Seko, A. </w:t>
      </w:r>
      <w:proofErr w:type="spellStart"/>
      <w:r w:rsidRPr="00A70858">
        <w:rPr>
          <w:sz w:val="24"/>
          <w:szCs w:val="28"/>
        </w:rPr>
        <w:t>Medo</w:t>
      </w:r>
      <w:proofErr w:type="spellEnd"/>
      <w:r w:rsidRPr="00A70858">
        <w:rPr>
          <w:sz w:val="24"/>
          <w:szCs w:val="28"/>
        </w:rPr>
        <w:t xml:space="preserve">, R. Hirasawa, N. O Ogawa, F. </w:t>
      </w:r>
      <w:proofErr w:type="spellStart"/>
      <w:r w:rsidRPr="00A70858">
        <w:rPr>
          <w:sz w:val="24"/>
          <w:szCs w:val="28"/>
        </w:rPr>
        <w:t>Hyodo</w:t>
      </w:r>
      <w:proofErr w:type="spellEnd"/>
      <w:r w:rsidRPr="00A70858">
        <w:rPr>
          <w:sz w:val="24"/>
          <w:szCs w:val="28"/>
        </w:rPr>
        <w:t>, &amp; C. Yoshimizu, 2021. Carbon and nitrogen isotope analysis on small samples using a near-conventional EA-IRMS system. RADIOISOTOPES 70: 700410. https://doi.org/10.3769/radioisotopes.70.291. (</w:t>
      </w:r>
      <w:proofErr w:type="gramStart"/>
      <w:r w:rsidRPr="00A70858">
        <w:rPr>
          <w:sz w:val="24"/>
          <w:szCs w:val="28"/>
        </w:rPr>
        <w:t>in</w:t>
      </w:r>
      <w:proofErr w:type="gramEnd"/>
      <w:r w:rsidRPr="00A70858">
        <w:rPr>
          <w:sz w:val="24"/>
          <w:szCs w:val="28"/>
        </w:rPr>
        <w:t xml:space="preserve"> Japanese with English abstract)</w:t>
      </w:r>
    </w:p>
    <w:p w14:paraId="214FE85D" w14:textId="2D70F7F5" w:rsidR="00A70858" w:rsidRPr="003F5C85" w:rsidRDefault="00A70858" w:rsidP="003F5C85">
      <w:pPr>
        <w:rPr>
          <w:sz w:val="24"/>
          <w:szCs w:val="28"/>
        </w:rPr>
      </w:pPr>
      <w:proofErr w:type="spellStart"/>
      <w:r w:rsidRPr="00A70858">
        <w:rPr>
          <w:sz w:val="24"/>
          <w:szCs w:val="28"/>
        </w:rPr>
        <w:t>Tayasu</w:t>
      </w:r>
      <w:proofErr w:type="spellEnd"/>
      <w:r w:rsidRPr="00A70858">
        <w:rPr>
          <w:sz w:val="24"/>
          <w:szCs w:val="28"/>
        </w:rPr>
        <w:t xml:space="preserve">, I., R. Hirasawa, N. O. Ogawa, N. </w:t>
      </w:r>
      <w:proofErr w:type="spellStart"/>
      <w:r w:rsidRPr="00A70858">
        <w:rPr>
          <w:sz w:val="24"/>
          <w:szCs w:val="28"/>
        </w:rPr>
        <w:t>Ohkouchi</w:t>
      </w:r>
      <w:proofErr w:type="spellEnd"/>
      <w:r w:rsidRPr="00A70858">
        <w:rPr>
          <w:sz w:val="24"/>
          <w:szCs w:val="28"/>
        </w:rPr>
        <w:t xml:space="preserve">, &amp; K. Yamada, 2011. New organic reference materials for carbon- and nitrogen-stable isotope ratio measurements provided by Center for Ecological Research, Kyoto University, and Institute of </w:t>
      </w:r>
      <w:proofErr w:type="spellStart"/>
      <w:r w:rsidRPr="00A70858">
        <w:rPr>
          <w:sz w:val="24"/>
          <w:szCs w:val="28"/>
        </w:rPr>
        <w:t>Biogeosciences</w:t>
      </w:r>
      <w:proofErr w:type="spellEnd"/>
      <w:r w:rsidRPr="00A70858">
        <w:rPr>
          <w:sz w:val="24"/>
          <w:szCs w:val="28"/>
        </w:rPr>
        <w:t>, Japan Agency for Marine-Earth Science and Technology. Limnology 12: 261–266. https://doi.org/10.1007/s10201-011-0345-5.</w:t>
      </w:r>
    </w:p>
    <w:sectPr w:rsidR="00A70858" w:rsidRPr="003F5C85" w:rsidSect="0097362A">
      <w:pgSz w:w="11900" w:h="16840"/>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Cordia New">
    <w:panose1 w:val="020B0304020202020204"/>
    <w:charset w:val="DE"/>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swiss"/>
    <w:pitch w:val="variable"/>
    <w:sig w:usb0="E00002FF" w:usb1="2AC7FDFF" w:usb2="00000016" w:usb3="00000000" w:csb0="0002009F" w:csb1="00000000"/>
  </w:font>
  <w:font w:name="Angsana New">
    <w:panose1 w:val="02020603050405020304"/>
    <w:charset w:val="DE"/>
    <w:family w:val="roman"/>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1A3"/>
    <w:rsid w:val="001C2DB3"/>
    <w:rsid w:val="001D56F3"/>
    <w:rsid w:val="002A619A"/>
    <w:rsid w:val="003D34ED"/>
    <w:rsid w:val="003F5C85"/>
    <w:rsid w:val="004542F2"/>
    <w:rsid w:val="00462086"/>
    <w:rsid w:val="00682129"/>
    <w:rsid w:val="00812A9B"/>
    <w:rsid w:val="0085454B"/>
    <w:rsid w:val="008D56D7"/>
    <w:rsid w:val="009613AD"/>
    <w:rsid w:val="0097362A"/>
    <w:rsid w:val="00A70858"/>
    <w:rsid w:val="00A873C0"/>
    <w:rsid w:val="00AF2515"/>
    <w:rsid w:val="00B377E8"/>
    <w:rsid w:val="00BE0787"/>
    <w:rsid w:val="00C96982"/>
    <w:rsid w:val="00D47495"/>
    <w:rsid w:val="00DB31A3"/>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ecimalSymbol w:val="."/>
  <w:listSeparator w:val=","/>
  <w14:docId w14:val="522AF528"/>
  <w15:chartTrackingRefBased/>
  <w15:docId w15:val="{B1231154-5511-0749-93B8-B28FC266C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31A3"/>
    <w:pPr>
      <w:widowControl w:val="0"/>
      <w:jc w:val="both"/>
    </w:pPr>
    <w:rPr>
      <w:rFonts w:ascii="Times New Roman" w:eastAsia="ＭＳ 明朝" w:hAnsi="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3F5C85"/>
    <w:rPr>
      <w:sz w:val="18"/>
      <w:szCs w:val="18"/>
    </w:rPr>
  </w:style>
  <w:style w:type="paragraph" w:styleId="a4">
    <w:name w:val="Revision"/>
    <w:hidden/>
    <w:uiPriority w:val="99"/>
    <w:semiHidden/>
    <w:rsid w:val="00C96982"/>
    <w:rPr>
      <w:rFonts w:ascii="Times New Roman" w:eastAsia="ＭＳ 明朝"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4</Pages>
  <Words>1372</Words>
  <Characters>7824</Characters>
  <Application>Microsoft Office Word</Application>
  <DocSecurity>0</DocSecurity>
  <Lines>65</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Ayano Medo</dc:creator>
  <cp:keywords/>
  <dc:description/>
  <cp:lastModifiedBy>Ayano Medo</cp:lastModifiedBy>
  <cp:revision>10</cp:revision>
  <dcterms:created xsi:type="dcterms:W3CDTF">2023-05-13T10:37:00Z</dcterms:created>
  <dcterms:modified xsi:type="dcterms:W3CDTF">2023-07-13T01:46:00Z</dcterms:modified>
</cp:coreProperties>
</file>